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24" w:rsidRDefault="00F50424" w:rsidP="00FD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424" w:rsidRDefault="00F50424" w:rsidP="00FD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F50424" w:rsidRDefault="00F50424" w:rsidP="00FD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УЧРЕЖДЕНИЕ</w:t>
      </w:r>
    </w:p>
    <w:p w:rsidR="00F50424" w:rsidRDefault="00F50424" w:rsidP="00FD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BF9" w:rsidRDefault="00FD5BF9" w:rsidP="00FD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НИИ ЭКОНОМИКИ СЕЛЬСКОГО ХОЗЯЙСТВА</w:t>
      </w:r>
    </w:p>
    <w:p w:rsidR="00FD5BF9" w:rsidRDefault="00FD5BF9" w:rsidP="002E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BF9" w:rsidRDefault="00FD5BF9" w:rsidP="002E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BF9" w:rsidRDefault="00FD5BF9" w:rsidP="002E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BF9" w:rsidRDefault="00FD5BF9" w:rsidP="002E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BF9" w:rsidRDefault="00FD5BF9" w:rsidP="00FD5B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BF9">
        <w:rPr>
          <w:rFonts w:ascii="Times New Roman" w:hAnsi="Times New Roman" w:cs="Times New Roman"/>
          <w:b/>
          <w:sz w:val="40"/>
          <w:szCs w:val="40"/>
        </w:rPr>
        <w:t xml:space="preserve">И.Г. </w:t>
      </w:r>
      <w:proofErr w:type="spellStart"/>
      <w:r w:rsidRPr="00FD5BF9">
        <w:rPr>
          <w:rFonts w:ascii="Times New Roman" w:hAnsi="Times New Roman" w:cs="Times New Roman"/>
          <w:b/>
          <w:sz w:val="40"/>
          <w:szCs w:val="40"/>
        </w:rPr>
        <w:t>Ушачев</w:t>
      </w:r>
      <w:proofErr w:type="spellEnd"/>
    </w:p>
    <w:p w:rsidR="00FD5BF9" w:rsidRDefault="00FD5BF9" w:rsidP="00FD5B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BF9">
        <w:rPr>
          <w:rFonts w:ascii="Times New Roman" w:hAnsi="Times New Roman" w:cs="Times New Roman"/>
          <w:i/>
          <w:sz w:val="28"/>
          <w:szCs w:val="28"/>
        </w:rPr>
        <w:t xml:space="preserve">директор Всероссийского НИИ экономики сельского хозяйства, </w:t>
      </w:r>
    </w:p>
    <w:p w:rsidR="007C53D5" w:rsidRDefault="007C53D5" w:rsidP="007C53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FD5BF9">
        <w:rPr>
          <w:rFonts w:ascii="Times New Roman" w:hAnsi="Times New Roman" w:cs="Times New Roman"/>
          <w:i/>
          <w:sz w:val="28"/>
          <w:szCs w:val="28"/>
        </w:rPr>
        <w:t>лен Президиума Российской академии наук, академик РАН</w:t>
      </w:r>
    </w:p>
    <w:p w:rsidR="007C53D5" w:rsidRPr="00FD5BF9" w:rsidRDefault="007C53D5" w:rsidP="00FD5B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BF9" w:rsidRDefault="00FD5BF9" w:rsidP="00FD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BF9" w:rsidRDefault="00FD5BF9" w:rsidP="00FD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BF9" w:rsidRDefault="00FD5BF9" w:rsidP="00FD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457" w:rsidRPr="00FD5BF9" w:rsidRDefault="002E5605" w:rsidP="00FD5B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BF9">
        <w:rPr>
          <w:rFonts w:ascii="Times New Roman" w:hAnsi="Times New Roman" w:cs="Times New Roman"/>
          <w:b/>
          <w:sz w:val="32"/>
          <w:szCs w:val="32"/>
        </w:rPr>
        <w:t>Проблемы обеспечения национальной и коллективной</w:t>
      </w:r>
      <w:r w:rsidR="006C08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5BF9">
        <w:rPr>
          <w:rFonts w:ascii="Times New Roman" w:hAnsi="Times New Roman" w:cs="Times New Roman"/>
          <w:b/>
          <w:sz w:val="32"/>
          <w:szCs w:val="32"/>
        </w:rPr>
        <w:t>продовольственной безопасности в условиях международной и региональной интеграции.</w:t>
      </w:r>
    </w:p>
    <w:p w:rsidR="00971BC3" w:rsidRPr="00971BC3" w:rsidRDefault="002E5605" w:rsidP="00FD5B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1BC3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BA7ABD" w:rsidRPr="00971BC3">
        <w:rPr>
          <w:rFonts w:ascii="Times New Roman" w:hAnsi="Times New Roman" w:cs="Times New Roman"/>
          <w:sz w:val="26"/>
          <w:szCs w:val="26"/>
        </w:rPr>
        <w:t xml:space="preserve">на </w:t>
      </w:r>
      <w:r w:rsidRPr="00971BC3">
        <w:rPr>
          <w:rFonts w:ascii="Times New Roman" w:hAnsi="Times New Roman" w:cs="Times New Roman"/>
          <w:sz w:val="26"/>
          <w:szCs w:val="26"/>
        </w:rPr>
        <w:t xml:space="preserve">Х </w:t>
      </w:r>
      <w:r w:rsidR="00692514" w:rsidRPr="00971BC3">
        <w:rPr>
          <w:rFonts w:ascii="Times New Roman" w:hAnsi="Times New Roman" w:cs="Times New Roman"/>
          <w:sz w:val="26"/>
          <w:szCs w:val="26"/>
        </w:rPr>
        <w:t>Международной научно-практической конференции</w:t>
      </w:r>
      <w:r w:rsidR="00FD5BF9" w:rsidRPr="00971B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BC3" w:rsidRPr="00971BC3" w:rsidRDefault="00FD5BF9" w:rsidP="00FD5B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1BC3">
        <w:rPr>
          <w:rFonts w:ascii="Times New Roman" w:hAnsi="Times New Roman" w:cs="Times New Roman"/>
          <w:sz w:val="26"/>
          <w:szCs w:val="26"/>
        </w:rPr>
        <w:t xml:space="preserve">«АПК Беларуси: новейшие вызовы региональной и международной интеграции» </w:t>
      </w:r>
    </w:p>
    <w:p w:rsidR="002E5605" w:rsidRPr="00971BC3" w:rsidRDefault="00FD5BF9" w:rsidP="00FD5B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1BC3">
        <w:rPr>
          <w:rFonts w:ascii="Times New Roman" w:hAnsi="Times New Roman" w:cs="Times New Roman"/>
          <w:sz w:val="26"/>
          <w:szCs w:val="26"/>
        </w:rPr>
        <w:t>(4-5 сентября 2014 года)</w:t>
      </w:r>
    </w:p>
    <w:p w:rsidR="00FD5BF9" w:rsidRDefault="00FD5BF9" w:rsidP="002E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BF9" w:rsidRDefault="00FD5BF9" w:rsidP="002E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BF9" w:rsidRDefault="00FD5BF9" w:rsidP="002E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BC3" w:rsidRDefault="00971BC3" w:rsidP="002E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DF3" w:rsidRDefault="00A87DF3" w:rsidP="00FD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ABD" w:rsidRDefault="00BA7ABD" w:rsidP="00FD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BA7ABD" w:rsidSect="00F50424">
          <w:footerReference w:type="default" r:id="rId8"/>
          <w:footerReference w:type="first" r:id="rId9"/>
          <w:pgSz w:w="11906" w:h="16838"/>
          <w:pgMar w:top="1134" w:right="1361" w:bottom="1134" w:left="136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Минск 2014</w:t>
      </w:r>
    </w:p>
    <w:p w:rsidR="002E5605" w:rsidRDefault="002E5605" w:rsidP="002E5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2E5605" w:rsidRDefault="002E5605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мне хотелось бы искренне поблагодарить наших белорусских </w:t>
      </w:r>
      <w:r w:rsidR="00E63C5D">
        <w:rPr>
          <w:rFonts w:ascii="Times New Roman" w:hAnsi="Times New Roman" w:cs="Times New Roman"/>
          <w:sz w:val="28"/>
          <w:szCs w:val="28"/>
        </w:rPr>
        <w:t>друзей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предоставленную возможность принять участие в обсуждении такой исключительно актуальной на сегодня проблемы как новейшие вызовы региональной и международной интеграции. Очень важно, что наш форум проходит </w:t>
      </w:r>
      <w:proofErr w:type="gramStart"/>
      <w:r w:rsidR="00E63C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гостеприимной белорусской земле, которая демонстрирует высокий уровень устойчивости агропромышленного комплекса благодаря взвешенной и активной аграрной политик</w:t>
      </w:r>
      <w:r w:rsidR="00814BE0">
        <w:rPr>
          <w:rFonts w:ascii="Times New Roman" w:hAnsi="Times New Roman" w:cs="Times New Roman"/>
          <w:sz w:val="28"/>
          <w:szCs w:val="28"/>
        </w:rPr>
        <w:t>е</w:t>
      </w:r>
      <w:r w:rsidR="00E63C5D">
        <w:rPr>
          <w:rFonts w:ascii="Times New Roman" w:hAnsi="Times New Roman" w:cs="Times New Roman"/>
          <w:sz w:val="28"/>
          <w:szCs w:val="28"/>
        </w:rPr>
        <w:t>, проводимой руководством страны.</w:t>
      </w:r>
      <w:r w:rsidR="00142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2C" w:rsidRPr="006C086B" w:rsidRDefault="00782E2C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86B">
        <w:rPr>
          <w:rFonts w:ascii="Times New Roman" w:hAnsi="Times New Roman" w:cs="Times New Roman"/>
          <w:color w:val="000000" w:themeColor="text1"/>
          <w:sz w:val="28"/>
          <w:szCs w:val="28"/>
        </w:rPr>
        <w:t>В своем выступлении я хотел бы остановиться на</w:t>
      </w:r>
      <w:r w:rsidR="006F77E8" w:rsidRPr="006C0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вопросах</w:t>
      </w:r>
      <w:r w:rsidR="006C086B" w:rsidRPr="006C08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086B" w:rsidRPr="007C53D5" w:rsidRDefault="00C562F2" w:rsidP="007C53D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3D5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</w:t>
      </w:r>
      <w:r w:rsidR="006C086B" w:rsidRPr="007C5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и коллективной продовольственной безопасности в современных условиях;</w:t>
      </w:r>
    </w:p>
    <w:p w:rsidR="006C086B" w:rsidRPr="007C53D5" w:rsidRDefault="006C086B" w:rsidP="007C53D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3D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обеспечения коллективной продовольственной безопасности ЕАЭС;</w:t>
      </w:r>
    </w:p>
    <w:p w:rsidR="006C086B" w:rsidRPr="007C53D5" w:rsidRDefault="006C086B" w:rsidP="007C53D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3D5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сопоставление моделей аграрной политики ЕС и ЕАЭС;</w:t>
      </w:r>
    </w:p>
    <w:p w:rsidR="006C086B" w:rsidRPr="007C53D5" w:rsidRDefault="006C086B" w:rsidP="007C53D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3D5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аспекты и этапы реализации согласованной аграрной политики ЕАЭС.</w:t>
      </w:r>
    </w:p>
    <w:p w:rsidR="002E5605" w:rsidRDefault="002E5605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нынешних условиях глобализации и продо</w:t>
      </w:r>
      <w:r w:rsidR="00814BE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жающихся кризисных процессов во многих странах мира, которые буду</w:t>
      </w:r>
      <w:r w:rsidR="00E63C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лишь усугубляться, по крайней мере, в ближайш</w:t>
      </w:r>
      <w:r w:rsidR="00814BE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BE0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, развитие интеграционных процесс</w:t>
      </w:r>
      <w:r w:rsidR="006F77E8">
        <w:rPr>
          <w:rFonts w:ascii="Times New Roman" w:hAnsi="Times New Roman" w:cs="Times New Roman"/>
          <w:sz w:val="28"/>
          <w:szCs w:val="28"/>
        </w:rPr>
        <w:t>ов</w:t>
      </w:r>
      <w:r w:rsidR="00E63C5D">
        <w:rPr>
          <w:rFonts w:ascii="Times New Roman" w:hAnsi="Times New Roman" w:cs="Times New Roman"/>
          <w:sz w:val="28"/>
          <w:szCs w:val="28"/>
        </w:rPr>
        <w:t xml:space="preserve"> на постсоветском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C5D">
        <w:rPr>
          <w:rFonts w:ascii="Times New Roman" w:hAnsi="Times New Roman" w:cs="Times New Roman"/>
          <w:sz w:val="28"/>
          <w:szCs w:val="28"/>
        </w:rPr>
        <w:t xml:space="preserve">и прежде всего </w:t>
      </w:r>
      <w:r w:rsidR="00814BE0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63C5D">
        <w:rPr>
          <w:rFonts w:ascii="Times New Roman" w:hAnsi="Times New Roman" w:cs="Times New Roman"/>
          <w:sz w:val="28"/>
          <w:szCs w:val="28"/>
        </w:rPr>
        <w:t xml:space="preserve">государствами, входящими в Таможенный союз, </w:t>
      </w:r>
      <w:r w:rsidR="00814BE0">
        <w:rPr>
          <w:rFonts w:ascii="Times New Roman" w:hAnsi="Times New Roman" w:cs="Times New Roman"/>
          <w:sz w:val="28"/>
          <w:szCs w:val="28"/>
        </w:rPr>
        <w:t>приобретает особое значение.</w:t>
      </w:r>
    </w:p>
    <w:p w:rsidR="00814BE0" w:rsidRDefault="00814BE0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центробежные тенденции, которые были характерны </w:t>
      </w:r>
      <w:r w:rsidR="00E63C5D">
        <w:rPr>
          <w:rFonts w:ascii="Times New Roman" w:hAnsi="Times New Roman" w:cs="Times New Roman"/>
          <w:sz w:val="28"/>
          <w:szCs w:val="28"/>
        </w:rPr>
        <w:t xml:space="preserve">на постсоветском пространстве </w:t>
      </w:r>
      <w:r>
        <w:rPr>
          <w:rFonts w:ascii="Times New Roman" w:hAnsi="Times New Roman" w:cs="Times New Roman"/>
          <w:sz w:val="28"/>
          <w:szCs w:val="28"/>
        </w:rPr>
        <w:t xml:space="preserve">для наших экономик в предыдущий период, все более замещаются стремлением </w:t>
      </w:r>
      <w:r w:rsidR="00E63C5D">
        <w:rPr>
          <w:rFonts w:ascii="Times New Roman" w:hAnsi="Times New Roman" w:cs="Times New Roman"/>
          <w:sz w:val="28"/>
          <w:szCs w:val="28"/>
        </w:rPr>
        <w:t>к переходу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C5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согласова</w:t>
      </w:r>
      <w:r w:rsidR="00E63C5D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политик национальных правительств и созданию нового </w:t>
      </w:r>
      <w:r w:rsidR="00E63C5D">
        <w:rPr>
          <w:rFonts w:ascii="Times New Roman" w:hAnsi="Times New Roman" w:cs="Times New Roman"/>
          <w:sz w:val="28"/>
          <w:szCs w:val="28"/>
        </w:rPr>
        <w:t xml:space="preserve">межгосударственного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интегрированного формирования, которым </w:t>
      </w:r>
      <w:r w:rsidR="00E63C5D">
        <w:rPr>
          <w:rFonts w:ascii="Times New Roman" w:hAnsi="Times New Roman" w:cs="Times New Roman"/>
          <w:sz w:val="28"/>
          <w:szCs w:val="28"/>
        </w:rPr>
        <w:t>с 2015</w:t>
      </w:r>
      <w:r w:rsidR="006F77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3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E63C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вразийский экономический союз. Соглашение о таком </w:t>
      </w:r>
      <w:r w:rsidR="006C08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оюзе, как Вы знаете, было подписано руководителями </w:t>
      </w:r>
      <w:r w:rsidR="00E63C5D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 xml:space="preserve">государств в Астане в мае </w:t>
      </w:r>
      <w:r>
        <w:rPr>
          <w:rFonts w:ascii="Times New Roman" w:hAnsi="Times New Roman" w:cs="Times New Roman"/>
          <w:sz w:val="28"/>
          <w:szCs w:val="28"/>
        </w:rPr>
        <w:lastRenderedPageBreak/>
        <w:t>этого года.</w:t>
      </w:r>
      <w:r w:rsidR="00F71FEA">
        <w:rPr>
          <w:rFonts w:ascii="Times New Roman" w:hAnsi="Times New Roman" w:cs="Times New Roman"/>
          <w:sz w:val="28"/>
          <w:szCs w:val="28"/>
        </w:rPr>
        <w:t xml:space="preserve"> При этом следует отметить, что в качестве основного принципа функционирования такого </w:t>
      </w:r>
      <w:r w:rsidR="006C086B">
        <w:rPr>
          <w:rFonts w:ascii="Times New Roman" w:hAnsi="Times New Roman" w:cs="Times New Roman"/>
          <w:sz w:val="28"/>
          <w:szCs w:val="28"/>
        </w:rPr>
        <w:t>С</w:t>
      </w:r>
      <w:r w:rsidR="00F71FEA">
        <w:rPr>
          <w:rFonts w:ascii="Times New Roman" w:hAnsi="Times New Roman" w:cs="Times New Roman"/>
          <w:sz w:val="28"/>
          <w:szCs w:val="28"/>
        </w:rPr>
        <w:t xml:space="preserve">оюза становится синергия объединения в общих интересах, позволяющая одновременно обеспечить уровень динамичного развития этого </w:t>
      </w:r>
      <w:r w:rsidR="006C086B">
        <w:rPr>
          <w:rFonts w:ascii="Times New Roman" w:hAnsi="Times New Roman" w:cs="Times New Roman"/>
          <w:sz w:val="28"/>
          <w:szCs w:val="28"/>
        </w:rPr>
        <w:t>С</w:t>
      </w:r>
      <w:r w:rsidR="00F71FEA">
        <w:rPr>
          <w:rFonts w:ascii="Times New Roman" w:hAnsi="Times New Roman" w:cs="Times New Roman"/>
          <w:sz w:val="28"/>
          <w:szCs w:val="28"/>
        </w:rPr>
        <w:t>оюза и каждой страны, входящей в</w:t>
      </w:r>
      <w:r w:rsidR="00E63C5D">
        <w:rPr>
          <w:rFonts w:ascii="Times New Roman" w:hAnsi="Times New Roman" w:cs="Times New Roman"/>
          <w:sz w:val="28"/>
          <w:szCs w:val="28"/>
        </w:rPr>
        <w:t xml:space="preserve"> него</w:t>
      </w:r>
      <w:r w:rsidR="00F71FEA">
        <w:rPr>
          <w:rFonts w:ascii="Times New Roman" w:hAnsi="Times New Roman" w:cs="Times New Roman"/>
          <w:sz w:val="28"/>
          <w:szCs w:val="28"/>
        </w:rPr>
        <w:t>.</w:t>
      </w:r>
    </w:p>
    <w:p w:rsidR="00814BE0" w:rsidRDefault="00E63C5D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F71FEA">
        <w:rPr>
          <w:rFonts w:ascii="Times New Roman" w:hAnsi="Times New Roman" w:cs="Times New Roman"/>
          <w:sz w:val="28"/>
          <w:szCs w:val="28"/>
        </w:rPr>
        <w:t>ажно сформировать такой механизм, который предусматривал бы не абстрактное партнерство, а реально</w:t>
      </w:r>
      <w:r w:rsidR="003429EF">
        <w:rPr>
          <w:rFonts w:ascii="Times New Roman" w:hAnsi="Times New Roman" w:cs="Times New Roman"/>
          <w:sz w:val="28"/>
          <w:szCs w:val="28"/>
        </w:rPr>
        <w:t>е</w:t>
      </w:r>
      <w:r w:rsidR="00F71FEA">
        <w:rPr>
          <w:rFonts w:ascii="Times New Roman" w:hAnsi="Times New Roman" w:cs="Times New Roman"/>
          <w:sz w:val="28"/>
          <w:szCs w:val="28"/>
        </w:rPr>
        <w:t xml:space="preserve"> экономическое взаимодействие наших стран в целях обеспечения конкурентоспособности на мировом</w:t>
      </w:r>
      <w:r w:rsidR="006F77E8">
        <w:rPr>
          <w:rFonts w:ascii="Times New Roman" w:hAnsi="Times New Roman" w:cs="Times New Roman"/>
          <w:sz w:val="28"/>
          <w:szCs w:val="28"/>
        </w:rPr>
        <w:t xml:space="preserve"> аграрном рынке</w:t>
      </w:r>
      <w:r w:rsidR="00F71FEA">
        <w:rPr>
          <w:rFonts w:ascii="Times New Roman" w:hAnsi="Times New Roman" w:cs="Times New Roman"/>
          <w:sz w:val="28"/>
          <w:szCs w:val="28"/>
        </w:rPr>
        <w:t>.</w:t>
      </w:r>
      <w:r w:rsidR="00C51703">
        <w:rPr>
          <w:rFonts w:ascii="Times New Roman" w:hAnsi="Times New Roman" w:cs="Times New Roman"/>
          <w:sz w:val="28"/>
          <w:szCs w:val="28"/>
        </w:rPr>
        <w:t xml:space="preserve"> </w:t>
      </w:r>
      <w:r w:rsidR="00F71FEA">
        <w:rPr>
          <w:rFonts w:ascii="Times New Roman" w:hAnsi="Times New Roman" w:cs="Times New Roman"/>
          <w:sz w:val="28"/>
          <w:szCs w:val="28"/>
        </w:rPr>
        <w:t>Вот почему в подписанном соглашении основной целью согласованной агр</w:t>
      </w:r>
      <w:r w:rsidR="00782E2C">
        <w:rPr>
          <w:rFonts w:ascii="Times New Roman" w:hAnsi="Times New Roman" w:cs="Times New Roman"/>
          <w:sz w:val="28"/>
          <w:szCs w:val="28"/>
        </w:rPr>
        <w:t>ар</w:t>
      </w:r>
      <w:r w:rsidR="00F71FEA">
        <w:rPr>
          <w:rFonts w:ascii="Times New Roman" w:hAnsi="Times New Roman" w:cs="Times New Roman"/>
          <w:sz w:val="28"/>
          <w:szCs w:val="28"/>
        </w:rPr>
        <w:t>ной политик</w:t>
      </w:r>
      <w:r w:rsidR="00782E2C">
        <w:rPr>
          <w:rFonts w:ascii="Times New Roman" w:hAnsi="Times New Roman" w:cs="Times New Roman"/>
          <w:sz w:val="28"/>
          <w:szCs w:val="28"/>
        </w:rPr>
        <w:t>и</w:t>
      </w:r>
      <w:r w:rsidR="00F71FEA">
        <w:rPr>
          <w:rFonts w:ascii="Times New Roman" w:hAnsi="Times New Roman" w:cs="Times New Roman"/>
          <w:sz w:val="28"/>
          <w:szCs w:val="28"/>
        </w:rPr>
        <w:t xml:space="preserve"> </w:t>
      </w:r>
      <w:r w:rsidR="006C086B">
        <w:rPr>
          <w:rFonts w:ascii="Times New Roman" w:hAnsi="Times New Roman" w:cs="Times New Roman"/>
          <w:sz w:val="28"/>
          <w:szCs w:val="28"/>
        </w:rPr>
        <w:t>С</w:t>
      </w:r>
      <w:r w:rsidR="00F71FEA">
        <w:rPr>
          <w:rFonts w:ascii="Times New Roman" w:hAnsi="Times New Roman" w:cs="Times New Roman"/>
          <w:sz w:val="28"/>
          <w:szCs w:val="28"/>
        </w:rPr>
        <w:t>оюза является эффективная реализация рес</w:t>
      </w:r>
      <w:r w:rsidR="00782E2C">
        <w:rPr>
          <w:rFonts w:ascii="Times New Roman" w:hAnsi="Times New Roman" w:cs="Times New Roman"/>
          <w:sz w:val="28"/>
          <w:szCs w:val="28"/>
        </w:rPr>
        <w:t>у</w:t>
      </w:r>
      <w:r w:rsidR="00F71FEA">
        <w:rPr>
          <w:rFonts w:ascii="Times New Roman" w:hAnsi="Times New Roman" w:cs="Times New Roman"/>
          <w:sz w:val="28"/>
          <w:szCs w:val="28"/>
        </w:rPr>
        <w:t>рсного потенциала наших стран для наращивания объемов конкурентоспособной сельскохозяйственной продукции</w:t>
      </w:r>
      <w:r w:rsidR="00782E2C">
        <w:rPr>
          <w:rFonts w:ascii="Times New Roman" w:hAnsi="Times New Roman" w:cs="Times New Roman"/>
          <w:sz w:val="28"/>
          <w:szCs w:val="28"/>
        </w:rPr>
        <w:t>, удовлетворения потребностей общего аграрного рынка и</w:t>
      </w:r>
      <w:r w:rsidR="00F71FEA">
        <w:rPr>
          <w:rFonts w:ascii="Times New Roman" w:hAnsi="Times New Roman" w:cs="Times New Roman"/>
          <w:sz w:val="28"/>
          <w:szCs w:val="28"/>
        </w:rPr>
        <w:t xml:space="preserve"> наращивани</w:t>
      </w:r>
      <w:r w:rsidR="00782E2C">
        <w:rPr>
          <w:rFonts w:ascii="Times New Roman" w:hAnsi="Times New Roman" w:cs="Times New Roman"/>
          <w:sz w:val="28"/>
          <w:szCs w:val="28"/>
        </w:rPr>
        <w:t>е</w:t>
      </w:r>
      <w:r w:rsidR="00F71FEA">
        <w:rPr>
          <w:rFonts w:ascii="Times New Roman" w:hAnsi="Times New Roman" w:cs="Times New Roman"/>
          <w:sz w:val="28"/>
          <w:szCs w:val="28"/>
        </w:rPr>
        <w:t xml:space="preserve"> </w:t>
      </w:r>
      <w:r w:rsidR="00782E2C">
        <w:rPr>
          <w:rFonts w:ascii="Times New Roman" w:hAnsi="Times New Roman" w:cs="Times New Roman"/>
          <w:sz w:val="28"/>
          <w:szCs w:val="28"/>
        </w:rPr>
        <w:t xml:space="preserve">ее </w:t>
      </w:r>
      <w:r w:rsidR="00F71FEA">
        <w:rPr>
          <w:rFonts w:ascii="Times New Roman" w:hAnsi="Times New Roman" w:cs="Times New Roman"/>
          <w:sz w:val="28"/>
          <w:szCs w:val="28"/>
        </w:rPr>
        <w:t>экспорта</w:t>
      </w:r>
      <w:r w:rsidR="003429EF">
        <w:rPr>
          <w:rFonts w:ascii="Times New Roman" w:hAnsi="Times New Roman" w:cs="Times New Roman"/>
          <w:sz w:val="28"/>
          <w:szCs w:val="28"/>
        </w:rPr>
        <w:t>, что совершенно очевидно повысит уровень коллективной продовольственной безопасности.</w:t>
      </w:r>
    </w:p>
    <w:p w:rsidR="00782E2C" w:rsidRDefault="00782E2C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цель предполагает решение следующих </w:t>
      </w:r>
      <w:r w:rsidR="00C51703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1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2C" w:rsidRPr="007C53D5" w:rsidRDefault="00782E2C" w:rsidP="007C53D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>сбалансированное развитие производства и рынков с</w:t>
      </w:r>
      <w:r w:rsidR="00A3223B" w:rsidRPr="007C53D5">
        <w:rPr>
          <w:rFonts w:ascii="Times New Roman" w:hAnsi="Times New Roman" w:cs="Times New Roman"/>
          <w:sz w:val="28"/>
          <w:szCs w:val="28"/>
        </w:rPr>
        <w:t>ельско</w:t>
      </w:r>
      <w:r w:rsidRPr="007C53D5">
        <w:rPr>
          <w:rFonts w:ascii="Times New Roman" w:hAnsi="Times New Roman" w:cs="Times New Roman"/>
          <w:sz w:val="28"/>
          <w:szCs w:val="28"/>
        </w:rPr>
        <w:t>х</w:t>
      </w:r>
      <w:r w:rsidR="00A3223B" w:rsidRPr="007C53D5">
        <w:rPr>
          <w:rFonts w:ascii="Times New Roman" w:hAnsi="Times New Roman" w:cs="Times New Roman"/>
          <w:sz w:val="28"/>
          <w:szCs w:val="28"/>
        </w:rPr>
        <w:t>озяйственной</w:t>
      </w:r>
      <w:r w:rsidRPr="007C53D5">
        <w:rPr>
          <w:rFonts w:ascii="Times New Roman" w:hAnsi="Times New Roman" w:cs="Times New Roman"/>
          <w:sz w:val="28"/>
          <w:szCs w:val="28"/>
        </w:rPr>
        <w:t xml:space="preserve"> продукции и продовольствия</w:t>
      </w:r>
      <w:r w:rsidR="006C086B" w:rsidRPr="007C53D5">
        <w:rPr>
          <w:rFonts w:ascii="Times New Roman" w:hAnsi="Times New Roman" w:cs="Times New Roman"/>
          <w:sz w:val="28"/>
          <w:szCs w:val="28"/>
        </w:rPr>
        <w:t xml:space="preserve"> в рамках Союза</w:t>
      </w:r>
      <w:r w:rsidR="00BA7ABD" w:rsidRPr="007C53D5">
        <w:rPr>
          <w:rFonts w:ascii="Times New Roman" w:hAnsi="Times New Roman" w:cs="Times New Roman"/>
          <w:sz w:val="28"/>
          <w:szCs w:val="28"/>
        </w:rPr>
        <w:t>;</w:t>
      </w:r>
    </w:p>
    <w:p w:rsidR="00782E2C" w:rsidRPr="007C53D5" w:rsidRDefault="00782E2C" w:rsidP="007C53D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 xml:space="preserve">обеспечение справедливой конкуренции внутри </w:t>
      </w:r>
      <w:r w:rsidR="006C086B" w:rsidRPr="007C53D5">
        <w:rPr>
          <w:rFonts w:ascii="Times New Roman" w:hAnsi="Times New Roman" w:cs="Times New Roman"/>
          <w:sz w:val="28"/>
          <w:szCs w:val="28"/>
        </w:rPr>
        <w:t>С</w:t>
      </w:r>
      <w:r w:rsidRPr="007C53D5">
        <w:rPr>
          <w:rFonts w:ascii="Times New Roman" w:hAnsi="Times New Roman" w:cs="Times New Roman"/>
          <w:sz w:val="28"/>
          <w:szCs w:val="28"/>
        </w:rPr>
        <w:t>оюза и равного доступа на его общий аграрный рынок</w:t>
      </w:r>
      <w:r w:rsidR="00BA7ABD" w:rsidRPr="007C53D5">
        <w:rPr>
          <w:rFonts w:ascii="Times New Roman" w:hAnsi="Times New Roman" w:cs="Times New Roman"/>
          <w:sz w:val="28"/>
          <w:szCs w:val="28"/>
        </w:rPr>
        <w:t>;</w:t>
      </w:r>
    </w:p>
    <w:p w:rsidR="00782E2C" w:rsidRPr="007C53D5" w:rsidRDefault="00782E2C" w:rsidP="007C53D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 xml:space="preserve">унификация требований, связанных с обращением сельхозпродукции </w:t>
      </w:r>
      <w:r w:rsidR="003429EF" w:rsidRPr="007C53D5">
        <w:rPr>
          <w:rFonts w:ascii="Times New Roman" w:hAnsi="Times New Roman" w:cs="Times New Roman"/>
          <w:sz w:val="28"/>
          <w:szCs w:val="28"/>
        </w:rPr>
        <w:t xml:space="preserve">и продовольствия </w:t>
      </w:r>
      <w:r w:rsidRPr="007C53D5">
        <w:rPr>
          <w:rFonts w:ascii="Times New Roman" w:hAnsi="Times New Roman" w:cs="Times New Roman"/>
          <w:sz w:val="28"/>
          <w:szCs w:val="28"/>
        </w:rPr>
        <w:t>на рынке</w:t>
      </w:r>
      <w:r w:rsidR="00BA7ABD" w:rsidRPr="007C53D5">
        <w:rPr>
          <w:rFonts w:ascii="Times New Roman" w:hAnsi="Times New Roman" w:cs="Times New Roman"/>
          <w:sz w:val="28"/>
          <w:szCs w:val="28"/>
        </w:rPr>
        <w:t>;</w:t>
      </w:r>
    </w:p>
    <w:p w:rsidR="00782E2C" w:rsidRPr="007C53D5" w:rsidRDefault="00782E2C" w:rsidP="007C53D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 xml:space="preserve">защита интересов сельхозтоваропроизводителей на </w:t>
      </w:r>
      <w:proofErr w:type="gramStart"/>
      <w:r w:rsidRPr="007C53D5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7C53D5">
        <w:rPr>
          <w:rFonts w:ascii="Times New Roman" w:hAnsi="Times New Roman" w:cs="Times New Roman"/>
          <w:sz w:val="28"/>
          <w:szCs w:val="28"/>
        </w:rPr>
        <w:t xml:space="preserve"> и внешних рынках.</w:t>
      </w:r>
    </w:p>
    <w:p w:rsidR="00782E2C" w:rsidRDefault="00C51703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20C8A" w:rsidRPr="00420C8A">
        <w:rPr>
          <w:rFonts w:ascii="Times New Roman" w:hAnsi="Times New Roman" w:cs="Times New Roman"/>
          <w:color w:val="000000" w:themeColor="text1"/>
          <w:sz w:val="28"/>
          <w:szCs w:val="28"/>
        </w:rPr>
        <w:t>ешения</w:t>
      </w:r>
      <w:r w:rsidR="00420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420C8A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в новых условиях</w:t>
      </w:r>
      <w:r w:rsidR="00420C8A"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r w:rsidR="00782E2C">
        <w:rPr>
          <w:rFonts w:ascii="Times New Roman" w:hAnsi="Times New Roman" w:cs="Times New Roman"/>
          <w:sz w:val="28"/>
          <w:szCs w:val="28"/>
        </w:rPr>
        <w:t>осуществлять по</w:t>
      </w:r>
      <w:r w:rsidR="00A3223B">
        <w:rPr>
          <w:rFonts w:ascii="Times New Roman" w:hAnsi="Times New Roman" w:cs="Times New Roman"/>
          <w:sz w:val="28"/>
          <w:szCs w:val="28"/>
        </w:rPr>
        <w:t xml:space="preserve"> </w:t>
      </w:r>
      <w:r w:rsidR="00782E2C">
        <w:rPr>
          <w:rFonts w:ascii="Times New Roman" w:hAnsi="Times New Roman" w:cs="Times New Roman"/>
          <w:sz w:val="28"/>
          <w:szCs w:val="28"/>
        </w:rPr>
        <w:t>следующим основным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2C" w:rsidRPr="007C53D5" w:rsidRDefault="00782E2C" w:rsidP="007C53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>прогнозирование развития АПК и аграрных рынков</w:t>
      </w:r>
      <w:r w:rsidR="00420C8A" w:rsidRPr="007C53D5">
        <w:rPr>
          <w:rFonts w:ascii="Times New Roman" w:hAnsi="Times New Roman" w:cs="Times New Roman"/>
          <w:sz w:val="28"/>
          <w:szCs w:val="28"/>
        </w:rPr>
        <w:t>, включая разработку прогнозных балансов по наиболее чувствительным видам продовольствия</w:t>
      </w:r>
      <w:r w:rsidR="003429EF" w:rsidRPr="007C53D5">
        <w:rPr>
          <w:rFonts w:ascii="Times New Roman" w:hAnsi="Times New Roman" w:cs="Times New Roman"/>
          <w:sz w:val="28"/>
          <w:szCs w:val="28"/>
        </w:rPr>
        <w:t>;</w:t>
      </w:r>
    </w:p>
    <w:p w:rsidR="00782E2C" w:rsidRPr="007C53D5" w:rsidRDefault="00782E2C" w:rsidP="007C53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>государственная поддержка сельского хозяйства</w:t>
      </w:r>
      <w:r w:rsidR="003429EF" w:rsidRPr="007C53D5">
        <w:rPr>
          <w:rFonts w:ascii="Times New Roman" w:hAnsi="Times New Roman" w:cs="Times New Roman"/>
          <w:sz w:val="28"/>
          <w:szCs w:val="28"/>
        </w:rPr>
        <w:t>;</w:t>
      </w:r>
    </w:p>
    <w:p w:rsidR="00782E2C" w:rsidRPr="007C53D5" w:rsidRDefault="00782E2C" w:rsidP="007C53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lastRenderedPageBreak/>
        <w:t>регулирование сельскохозяйственного производства и общего аграрного рынка</w:t>
      </w:r>
      <w:r w:rsidR="003429EF" w:rsidRPr="007C53D5">
        <w:rPr>
          <w:rFonts w:ascii="Times New Roman" w:hAnsi="Times New Roman" w:cs="Times New Roman"/>
          <w:sz w:val="28"/>
          <w:szCs w:val="28"/>
        </w:rPr>
        <w:t>;</w:t>
      </w:r>
    </w:p>
    <w:p w:rsidR="00782E2C" w:rsidRPr="007C53D5" w:rsidRDefault="00A3223B" w:rsidP="007C53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>развитие экспорта сельскохозяйственной продукции и продовольствия</w:t>
      </w:r>
      <w:r w:rsidR="003429EF" w:rsidRPr="007C53D5">
        <w:rPr>
          <w:rFonts w:ascii="Times New Roman" w:hAnsi="Times New Roman" w:cs="Times New Roman"/>
          <w:sz w:val="28"/>
          <w:szCs w:val="28"/>
        </w:rPr>
        <w:t>;</w:t>
      </w:r>
    </w:p>
    <w:p w:rsidR="00A3223B" w:rsidRPr="007C53D5" w:rsidRDefault="00A3223B" w:rsidP="007C53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>развитие интеграционных формирований и производств</w:t>
      </w:r>
      <w:r w:rsidR="003429EF" w:rsidRPr="007C53D5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420C8A" w:rsidRPr="007C53D5">
        <w:rPr>
          <w:rFonts w:ascii="Times New Roman" w:hAnsi="Times New Roman" w:cs="Times New Roman"/>
          <w:sz w:val="28"/>
          <w:szCs w:val="28"/>
        </w:rPr>
        <w:t xml:space="preserve">межгосударственных </w:t>
      </w:r>
      <w:r w:rsidR="00C447F7" w:rsidRPr="007C53D5">
        <w:rPr>
          <w:rFonts w:ascii="Times New Roman" w:hAnsi="Times New Roman" w:cs="Times New Roman"/>
          <w:sz w:val="28"/>
          <w:szCs w:val="28"/>
        </w:rPr>
        <w:t>компани</w:t>
      </w:r>
      <w:r w:rsidR="00420C8A" w:rsidRPr="007C53D5">
        <w:rPr>
          <w:rFonts w:ascii="Times New Roman" w:hAnsi="Times New Roman" w:cs="Times New Roman"/>
          <w:sz w:val="28"/>
          <w:szCs w:val="28"/>
        </w:rPr>
        <w:t>й</w:t>
      </w:r>
      <w:r w:rsidR="00C447F7" w:rsidRPr="007C53D5">
        <w:rPr>
          <w:rFonts w:ascii="Times New Roman" w:hAnsi="Times New Roman" w:cs="Times New Roman"/>
          <w:sz w:val="28"/>
          <w:szCs w:val="28"/>
        </w:rPr>
        <w:t>, ориентированные на деятельность как внутри, так и на внешних рынках</w:t>
      </w:r>
      <w:r w:rsidR="003429EF" w:rsidRPr="007C53D5">
        <w:rPr>
          <w:rFonts w:ascii="Times New Roman" w:hAnsi="Times New Roman" w:cs="Times New Roman"/>
          <w:sz w:val="28"/>
          <w:szCs w:val="28"/>
        </w:rPr>
        <w:t xml:space="preserve"> </w:t>
      </w:r>
      <w:r w:rsidRPr="007C53D5">
        <w:rPr>
          <w:rFonts w:ascii="Times New Roman" w:hAnsi="Times New Roman" w:cs="Times New Roman"/>
          <w:sz w:val="28"/>
          <w:szCs w:val="28"/>
        </w:rPr>
        <w:t>в сфере АПК</w:t>
      </w:r>
      <w:r w:rsidR="003429EF" w:rsidRPr="007C53D5">
        <w:rPr>
          <w:rFonts w:ascii="Times New Roman" w:hAnsi="Times New Roman" w:cs="Times New Roman"/>
          <w:sz w:val="28"/>
          <w:szCs w:val="28"/>
        </w:rPr>
        <w:t>;</w:t>
      </w:r>
    </w:p>
    <w:p w:rsidR="00A3223B" w:rsidRPr="007C53D5" w:rsidRDefault="00A3223B" w:rsidP="007C53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>технико</w:t>
      </w:r>
      <w:r w:rsidR="003429EF" w:rsidRPr="007C53D5">
        <w:rPr>
          <w:rFonts w:ascii="Times New Roman" w:hAnsi="Times New Roman" w:cs="Times New Roman"/>
          <w:sz w:val="28"/>
          <w:szCs w:val="28"/>
        </w:rPr>
        <w:t>-</w:t>
      </w:r>
      <w:r w:rsidRPr="007C53D5">
        <w:rPr>
          <w:rFonts w:ascii="Times New Roman" w:hAnsi="Times New Roman" w:cs="Times New Roman"/>
          <w:sz w:val="28"/>
          <w:szCs w:val="28"/>
        </w:rPr>
        <w:t xml:space="preserve">технологическое </w:t>
      </w:r>
      <w:r w:rsidR="003429EF" w:rsidRPr="007C53D5">
        <w:rPr>
          <w:rFonts w:ascii="Times New Roman" w:hAnsi="Times New Roman" w:cs="Times New Roman"/>
          <w:sz w:val="28"/>
          <w:szCs w:val="28"/>
        </w:rPr>
        <w:t xml:space="preserve">и </w:t>
      </w:r>
      <w:r w:rsidRPr="007C53D5">
        <w:rPr>
          <w:rFonts w:ascii="Times New Roman" w:hAnsi="Times New Roman" w:cs="Times New Roman"/>
          <w:sz w:val="28"/>
          <w:szCs w:val="28"/>
        </w:rPr>
        <w:t>инновационное развитие АПК</w:t>
      </w:r>
      <w:r w:rsidR="003429EF" w:rsidRPr="007C53D5">
        <w:rPr>
          <w:rFonts w:ascii="Times New Roman" w:hAnsi="Times New Roman" w:cs="Times New Roman"/>
          <w:sz w:val="28"/>
          <w:szCs w:val="28"/>
        </w:rPr>
        <w:t>;</w:t>
      </w:r>
    </w:p>
    <w:p w:rsidR="00A3223B" w:rsidRPr="007C53D5" w:rsidRDefault="00A3223B" w:rsidP="007C53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>научное обеспечение и совершенствование системы образования</w:t>
      </w:r>
      <w:r w:rsidR="003429EF" w:rsidRPr="007C53D5">
        <w:rPr>
          <w:rFonts w:ascii="Times New Roman" w:hAnsi="Times New Roman" w:cs="Times New Roman"/>
          <w:sz w:val="28"/>
          <w:szCs w:val="28"/>
        </w:rPr>
        <w:t>;</w:t>
      </w:r>
    </w:p>
    <w:p w:rsidR="00A3223B" w:rsidRPr="007C53D5" w:rsidRDefault="00A3223B" w:rsidP="007C53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>интегрированное информационное обеспечение АПК.</w:t>
      </w:r>
    </w:p>
    <w:p w:rsidR="00A3223B" w:rsidRDefault="00420C8A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д</w:t>
      </w:r>
      <w:r w:rsidR="005315E4">
        <w:rPr>
          <w:rFonts w:ascii="Times New Roman" w:hAnsi="Times New Roman" w:cs="Times New Roman"/>
          <w:sz w:val="28"/>
          <w:szCs w:val="28"/>
        </w:rPr>
        <w:t>ля реализации вышеперечисленных направлений необходимо определить</w:t>
      </w:r>
      <w:r w:rsidR="00B262F5">
        <w:rPr>
          <w:rFonts w:ascii="Times New Roman" w:hAnsi="Times New Roman" w:cs="Times New Roman"/>
          <w:sz w:val="28"/>
          <w:szCs w:val="28"/>
        </w:rPr>
        <w:t xml:space="preserve">ся с </w:t>
      </w:r>
      <w:r w:rsidR="005315E4">
        <w:rPr>
          <w:rFonts w:ascii="Times New Roman" w:hAnsi="Times New Roman" w:cs="Times New Roman"/>
          <w:sz w:val="28"/>
          <w:szCs w:val="28"/>
        </w:rPr>
        <w:t>модель</w:t>
      </w:r>
      <w:r w:rsidR="00B262F5">
        <w:rPr>
          <w:rFonts w:ascii="Times New Roman" w:hAnsi="Times New Roman" w:cs="Times New Roman"/>
          <w:sz w:val="28"/>
          <w:szCs w:val="28"/>
        </w:rPr>
        <w:t>ю</w:t>
      </w:r>
      <w:r w:rsidR="005315E4">
        <w:rPr>
          <w:rFonts w:ascii="Times New Roman" w:hAnsi="Times New Roman" w:cs="Times New Roman"/>
          <w:sz w:val="28"/>
          <w:szCs w:val="28"/>
        </w:rPr>
        <w:t xml:space="preserve"> интеграционных отношений в аграрной сфе</w:t>
      </w:r>
      <w:r w:rsidR="001C2B16">
        <w:rPr>
          <w:rFonts w:ascii="Times New Roman" w:hAnsi="Times New Roman" w:cs="Times New Roman"/>
          <w:sz w:val="28"/>
          <w:szCs w:val="28"/>
        </w:rPr>
        <w:t xml:space="preserve">ре нашего формирующегося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17030">
        <w:rPr>
          <w:rFonts w:ascii="Times New Roman" w:hAnsi="Times New Roman" w:cs="Times New Roman"/>
          <w:sz w:val="28"/>
          <w:szCs w:val="28"/>
        </w:rPr>
        <w:t>оюза, так как от выбранной модели будет напрямую зависеть уровень продовольственной безопасности наших стран.</w:t>
      </w:r>
    </w:p>
    <w:p w:rsidR="005315E4" w:rsidRDefault="00FC0946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30">
        <w:rPr>
          <w:rFonts w:ascii="Times New Roman" w:hAnsi="Times New Roman" w:cs="Times New Roman"/>
          <w:sz w:val="28"/>
          <w:szCs w:val="28"/>
        </w:rPr>
        <w:t>Как известно, важнейшей характеристикой прод</w:t>
      </w:r>
      <w:r w:rsidR="00E2594E" w:rsidRPr="00217030">
        <w:rPr>
          <w:rFonts w:ascii="Times New Roman" w:hAnsi="Times New Roman" w:cs="Times New Roman"/>
          <w:sz w:val="28"/>
          <w:szCs w:val="28"/>
        </w:rPr>
        <w:t>овольственной</w:t>
      </w:r>
      <w:r w:rsidRPr="00217030">
        <w:rPr>
          <w:rFonts w:ascii="Times New Roman" w:hAnsi="Times New Roman" w:cs="Times New Roman"/>
          <w:sz w:val="28"/>
          <w:szCs w:val="28"/>
        </w:rPr>
        <w:t xml:space="preserve"> безопасности государств и интеграционных </w:t>
      </w:r>
      <w:r w:rsidR="00420C8A" w:rsidRPr="00217030">
        <w:rPr>
          <w:rFonts w:ascii="Times New Roman" w:hAnsi="Times New Roman" w:cs="Times New Roman"/>
          <w:sz w:val="28"/>
          <w:szCs w:val="28"/>
        </w:rPr>
        <w:t xml:space="preserve">формирований, </w:t>
      </w:r>
      <w:r w:rsidRPr="00217030">
        <w:rPr>
          <w:rFonts w:ascii="Times New Roman" w:hAnsi="Times New Roman" w:cs="Times New Roman"/>
          <w:sz w:val="28"/>
          <w:szCs w:val="28"/>
        </w:rPr>
        <w:t>является достигнутый уровень продовольственной независимости, измеряемый как отношения совокупного собственного производства к совокупно</w:t>
      </w:r>
      <w:r w:rsidR="00E2594E" w:rsidRPr="00217030">
        <w:rPr>
          <w:rFonts w:ascii="Times New Roman" w:hAnsi="Times New Roman" w:cs="Times New Roman"/>
          <w:sz w:val="28"/>
          <w:szCs w:val="28"/>
        </w:rPr>
        <w:t>му</w:t>
      </w:r>
      <w:r w:rsidRPr="00217030">
        <w:rPr>
          <w:rFonts w:ascii="Times New Roman" w:hAnsi="Times New Roman" w:cs="Times New Roman"/>
          <w:sz w:val="28"/>
          <w:szCs w:val="28"/>
        </w:rPr>
        <w:t xml:space="preserve"> потреблению.</w:t>
      </w:r>
    </w:p>
    <w:p w:rsidR="00FC0946" w:rsidRDefault="00E2594E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0946">
        <w:rPr>
          <w:rFonts w:ascii="Times New Roman" w:hAnsi="Times New Roman" w:cs="Times New Roman"/>
          <w:sz w:val="28"/>
          <w:szCs w:val="28"/>
        </w:rPr>
        <w:t xml:space="preserve"> сожалению, если говорить в целом о Евразийском экономическом союзе</w:t>
      </w:r>
      <w:r w:rsidR="0041073C">
        <w:rPr>
          <w:rFonts w:ascii="Times New Roman" w:hAnsi="Times New Roman" w:cs="Times New Roman"/>
          <w:sz w:val="28"/>
          <w:szCs w:val="28"/>
        </w:rPr>
        <w:t>,</w:t>
      </w:r>
      <w:r w:rsidR="00FC0946">
        <w:rPr>
          <w:rFonts w:ascii="Times New Roman" w:hAnsi="Times New Roman" w:cs="Times New Roman"/>
          <w:sz w:val="28"/>
          <w:szCs w:val="28"/>
        </w:rPr>
        <w:t xml:space="preserve"> уровень продовол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C0946">
        <w:rPr>
          <w:rFonts w:ascii="Times New Roman" w:hAnsi="Times New Roman" w:cs="Times New Roman"/>
          <w:sz w:val="28"/>
          <w:szCs w:val="28"/>
        </w:rPr>
        <w:t>ственной независимости по большинству чувствительных продуктов питания существенно не дотягива</w:t>
      </w:r>
      <w:r w:rsidR="0041073C">
        <w:rPr>
          <w:rFonts w:ascii="Times New Roman" w:hAnsi="Times New Roman" w:cs="Times New Roman"/>
          <w:sz w:val="28"/>
          <w:szCs w:val="28"/>
        </w:rPr>
        <w:t>е</w:t>
      </w:r>
      <w:r w:rsidR="00FC0946">
        <w:rPr>
          <w:rFonts w:ascii="Times New Roman" w:hAnsi="Times New Roman" w:cs="Times New Roman"/>
          <w:sz w:val="28"/>
          <w:szCs w:val="28"/>
        </w:rPr>
        <w:t>т до единицы. Еди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C0946">
        <w:rPr>
          <w:rFonts w:ascii="Times New Roman" w:hAnsi="Times New Roman" w:cs="Times New Roman"/>
          <w:sz w:val="28"/>
          <w:szCs w:val="28"/>
        </w:rPr>
        <w:t>ственным приятным исключением на всем постсоветском пространстве является Республика Беларусь</w:t>
      </w:r>
      <w:r>
        <w:rPr>
          <w:rFonts w:ascii="Times New Roman" w:hAnsi="Times New Roman" w:cs="Times New Roman"/>
          <w:sz w:val="28"/>
          <w:szCs w:val="28"/>
        </w:rPr>
        <w:t xml:space="preserve">, которая обладает значительным экспортным потенциалом по </w:t>
      </w:r>
      <w:r w:rsidR="00F10377">
        <w:rPr>
          <w:rFonts w:ascii="Times New Roman" w:hAnsi="Times New Roman" w:cs="Times New Roman"/>
          <w:sz w:val="28"/>
          <w:szCs w:val="28"/>
        </w:rPr>
        <w:t>многим</w:t>
      </w:r>
      <w:r>
        <w:rPr>
          <w:rFonts w:ascii="Times New Roman" w:hAnsi="Times New Roman" w:cs="Times New Roman"/>
          <w:sz w:val="28"/>
          <w:szCs w:val="28"/>
        </w:rPr>
        <w:t xml:space="preserve"> важнейшим видам продуктов питания</w:t>
      </w:r>
      <w:r w:rsidR="007C4E7F">
        <w:rPr>
          <w:rFonts w:ascii="Times New Roman" w:hAnsi="Times New Roman" w:cs="Times New Roman"/>
          <w:sz w:val="28"/>
          <w:szCs w:val="28"/>
        </w:rPr>
        <w:t>, зачет чего занимает первое место по объему взаимной торговли в ЕАЭС (</w:t>
      </w:r>
      <w:r w:rsidR="007C53D5">
        <w:rPr>
          <w:rFonts w:ascii="Times New Roman" w:hAnsi="Times New Roman" w:cs="Times New Roman"/>
          <w:sz w:val="28"/>
          <w:szCs w:val="28"/>
        </w:rPr>
        <w:t>рис. 1</w:t>
      </w:r>
      <w:r w:rsidR="007C4E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1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FA8" w:rsidRDefault="00144FA8" w:rsidP="00144F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F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6875" cy="1819275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4FA8" w:rsidRDefault="007C53D5" w:rsidP="00144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Рис. 1 – </w:t>
      </w:r>
      <w:r w:rsidR="00144FA8" w:rsidRPr="00144FA8">
        <w:rPr>
          <w:rFonts w:ascii="Times New Roman" w:hAnsi="Times New Roman" w:cs="Times New Roman"/>
          <w:b/>
          <w:bCs/>
          <w:sz w:val="28"/>
          <w:szCs w:val="28"/>
        </w:rPr>
        <w:t>Удельный вес стран ЕАЭС во взаимной торговле продукцией сельского хозяйства и охоты, %</w:t>
      </w:r>
    </w:p>
    <w:p w:rsidR="00144FA8" w:rsidRDefault="00144FA8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94E" w:rsidRDefault="00E2594E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позволяет нам построить бесконфликтную модель наращивания уровня </w:t>
      </w:r>
      <w:r w:rsidR="00F10377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>
        <w:rPr>
          <w:rFonts w:ascii="Times New Roman" w:hAnsi="Times New Roman" w:cs="Times New Roman"/>
          <w:sz w:val="28"/>
          <w:szCs w:val="28"/>
        </w:rPr>
        <w:t>независимости нашего интеграционного формирования</w:t>
      </w:r>
      <w:r w:rsidR="00443427">
        <w:rPr>
          <w:rFonts w:ascii="Times New Roman" w:hAnsi="Times New Roman" w:cs="Times New Roman"/>
          <w:sz w:val="28"/>
          <w:szCs w:val="28"/>
        </w:rPr>
        <w:t>. Однако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443427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 xml:space="preserve"> упуска</w:t>
      </w:r>
      <w:r w:rsidR="0044342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из виду и необходимост</w:t>
      </w:r>
      <w:r w:rsidR="0044342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7E8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>
        <w:rPr>
          <w:rFonts w:ascii="Times New Roman" w:hAnsi="Times New Roman" w:cs="Times New Roman"/>
          <w:sz w:val="28"/>
          <w:szCs w:val="28"/>
        </w:rPr>
        <w:t>механизма регулирования взаимодействия наших государств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внешних рынках, используя экспортный потенциал в сфере поставок зерна и других продуктов</w:t>
      </w:r>
      <w:r w:rsidR="00443427">
        <w:rPr>
          <w:rFonts w:ascii="Times New Roman" w:hAnsi="Times New Roman" w:cs="Times New Roman"/>
          <w:sz w:val="28"/>
          <w:szCs w:val="28"/>
        </w:rPr>
        <w:t>.</w:t>
      </w:r>
    </w:p>
    <w:p w:rsidR="00443427" w:rsidRDefault="00443427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F10377"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 w:rsidR="00C12219">
        <w:rPr>
          <w:rFonts w:ascii="Times New Roman" w:hAnsi="Times New Roman" w:cs="Times New Roman"/>
          <w:sz w:val="28"/>
          <w:szCs w:val="28"/>
        </w:rPr>
        <w:t xml:space="preserve">продовольственная безопасность – это сложная экономическая категория, предполагающая </w:t>
      </w:r>
      <w:r w:rsidR="00F2003F">
        <w:rPr>
          <w:rFonts w:ascii="Times New Roman" w:hAnsi="Times New Roman" w:cs="Times New Roman"/>
          <w:sz w:val="28"/>
          <w:szCs w:val="28"/>
        </w:rPr>
        <w:t>обеспечение за счет производства всех государств-членов ЕАЭС о</w:t>
      </w:r>
      <w:r w:rsidR="00F2003F" w:rsidRPr="00F2003F">
        <w:rPr>
          <w:rFonts w:ascii="Times New Roman" w:hAnsi="Times New Roman" w:cs="Times New Roman"/>
          <w:sz w:val="28"/>
          <w:szCs w:val="28"/>
        </w:rPr>
        <w:t>сновными видами продовольственных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03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2003F" w:rsidRPr="00F2003F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03F" w:rsidRPr="00F2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мы должны учитывать</w:t>
      </w:r>
      <w:r w:rsidR="00F2003F" w:rsidRPr="00F2003F">
        <w:rPr>
          <w:rFonts w:ascii="Times New Roman" w:hAnsi="Times New Roman" w:cs="Times New Roman"/>
          <w:sz w:val="28"/>
          <w:szCs w:val="28"/>
        </w:rPr>
        <w:t xml:space="preserve"> приоритет наиболее уязвимых, малоимущих слоев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2003F" w:rsidRPr="00F2003F">
        <w:rPr>
          <w:rFonts w:ascii="Times New Roman" w:hAnsi="Times New Roman" w:cs="Times New Roman"/>
          <w:sz w:val="28"/>
          <w:szCs w:val="28"/>
        </w:rPr>
        <w:t>при условии физической и экономической доступности этих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3F" w:rsidRDefault="00483741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проблем коллективной прод</w:t>
      </w:r>
      <w:r w:rsidR="00FD5292">
        <w:rPr>
          <w:rFonts w:ascii="Times New Roman" w:hAnsi="Times New Roman" w:cs="Times New Roman"/>
          <w:sz w:val="28"/>
          <w:szCs w:val="28"/>
        </w:rPr>
        <w:t>овольственной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необходима разработка и реализация целого комплекса </w:t>
      </w:r>
      <w:r w:rsidR="00F10377">
        <w:rPr>
          <w:rFonts w:ascii="Times New Roman" w:hAnsi="Times New Roman" w:cs="Times New Roman"/>
          <w:sz w:val="28"/>
          <w:szCs w:val="28"/>
        </w:rPr>
        <w:t>организационн</w:t>
      </w:r>
      <w:r w:rsidR="004C5108">
        <w:rPr>
          <w:rFonts w:ascii="Times New Roman" w:hAnsi="Times New Roman" w:cs="Times New Roman"/>
          <w:sz w:val="28"/>
          <w:szCs w:val="28"/>
        </w:rPr>
        <w:t>ых</w:t>
      </w:r>
      <w:r w:rsidR="00F10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мер, среди которых:</w:t>
      </w:r>
      <w:r w:rsidR="00EA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436" w:rsidRPr="00FA5243" w:rsidRDefault="007E3436" w:rsidP="00C626C9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совместного продовольственного баланса;</w:t>
      </w:r>
    </w:p>
    <w:p w:rsidR="00483741" w:rsidRPr="00FA5243" w:rsidRDefault="00483741" w:rsidP="00C626C9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5243">
        <w:rPr>
          <w:rFonts w:ascii="Times New Roman" w:hAnsi="Times New Roman" w:cs="Times New Roman"/>
          <w:sz w:val="28"/>
          <w:szCs w:val="28"/>
        </w:rPr>
        <w:t>формирование и использование совместного стабилизационного фонда сельхозпродукции</w:t>
      </w:r>
      <w:r w:rsidR="009C6FDF">
        <w:rPr>
          <w:rFonts w:ascii="Times New Roman" w:hAnsi="Times New Roman" w:cs="Times New Roman"/>
          <w:sz w:val="28"/>
          <w:szCs w:val="28"/>
        </w:rPr>
        <w:t xml:space="preserve"> по аналогии с фондами гарантирования и устойчивого развития Европейского союза</w:t>
      </w:r>
      <w:r w:rsidR="00FD5292" w:rsidRPr="00FA5243">
        <w:rPr>
          <w:rFonts w:ascii="Times New Roman" w:hAnsi="Times New Roman" w:cs="Times New Roman"/>
          <w:sz w:val="28"/>
          <w:szCs w:val="28"/>
        </w:rPr>
        <w:t>;</w:t>
      </w:r>
    </w:p>
    <w:p w:rsidR="00483741" w:rsidRPr="00FA5243" w:rsidRDefault="00483741" w:rsidP="00C626C9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5243">
        <w:rPr>
          <w:rFonts w:ascii="Times New Roman" w:hAnsi="Times New Roman" w:cs="Times New Roman"/>
          <w:sz w:val="28"/>
          <w:szCs w:val="28"/>
        </w:rPr>
        <w:t xml:space="preserve">поэтапное создание единой </w:t>
      </w:r>
      <w:r w:rsidR="00FD5292" w:rsidRPr="00FA5243">
        <w:rPr>
          <w:rFonts w:ascii="Times New Roman" w:hAnsi="Times New Roman" w:cs="Times New Roman"/>
          <w:sz w:val="28"/>
          <w:szCs w:val="28"/>
        </w:rPr>
        <w:t>меж</w:t>
      </w:r>
      <w:r w:rsidRPr="00FA5243">
        <w:rPr>
          <w:rFonts w:ascii="Times New Roman" w:hAnsi="Times New Roman" w:cs="Times New Roman"/>
          <w:sz w:val="28"/>
          <w:szCs w:val="28"/>
        </w:rPr>
        <w:t>государственной товаропроводящей системы</w:t>
      </w:r>
      <w:r w:rsidR="00FD5292" w:rsidRPr="00FA5243">
        <w:rPr>
          <w:rFonts w:ascii="Times New Roman" w:hAnsi="Times New Roman" w:cs="Times New Roman"/>
          <w:sz w:val="28"/>
          <w:szCs w:val="28"/>
        </w:rPr>
        <w:t>;</w:t>
      </w:r>
    </w:p>
    <w:p w:rsidR="00F10377" w:rsidRPr="004C5108" w:rsidRDefault="00F10377" w:rsidP="00F10377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5108">
        <w:rPr>
          <w:rFonts w:ascii="Times New Roman" w:hAnsi="Times New Roman" w:cs="Times New Roman"/>
          <w:sz w:val="28"/>
          <w:szCs w:val="28"/>
        </w:rPr>
        <w:lastRenderedPageBreak/>
        <w:t>создание конъюнктурного центра</w:t>
      </w:r>
      <w:r w:rsidR="004C5108">
        <w:rPr>
          <w:rFonts w:ascii="Times New Roman" w:hAnsi="Times New Roman" w:cs="Times New Roman"/>
          <w:sz w:val="28"/>
          <w:szCs w:val="28"/>
        </w:rPr>
        <w:t xml:space="preserve"> </w:t>
      </w:r>
      <w:r w:rsidRPr="004C5108">
        <w:rPr>
          <w:rFonts w:ascii="Times New Roman" w:hAnsi="Times New Roman" w:cs="Times New Roman"/>
          <w:sz w:val="28"/>
          <w:szCs w:val="28"/>
        </w:rPr>
        <w:t>по анализу и прогнозированию продовольственной ситуации.</w:t>
      </w:r>
    </w:p>
    <w:p w:rsidR="00483741" w:rsidRDefault="00483741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учитывать возникающие риски и угрозы</w:t>
      </w:r>
      <w:r w:rsidR="004C5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108">
        <w:rPr>
          <w:rFonts w:ascii="Times New Roman" w:hAnsi="Times New Roman" w:cs="Times New Roman"/>
          <w:sz w:val="28"/>
          <w:szCs w:val="28"/>
        </w:rPr>
        <w:t>предусмотре</w:t>
      </w:r>
      <w:r w:rsidR="00EA64F3">
        <w:rPr>
          <w:rFonts w:ascii="Times New Roman" w:hAnsi="Times New Roman" w:cs="Times New Roman"/>
          <w:sz w:val="28"/>
          <w:szCs w:val="28"/>
        </w:rPr>
        <w:t>в</w:t>
      </w:r>
      <w:r w:rsidR="004C5108">
        <w:rPr>
          <w:rFonts w:ascii="Times New Roman" w:hAnsi="Times New Roman" w:cs="Times New Roman"/>
          <w:sz w:val="28"/>
          <w:szCs w:val="28"/>
        </w:rPr>
        <w:t xml:space="preserve"> выработку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7E3436">
        <w:rPr>
          <w:rFonts w:ascii="Times New Roman" w:hAnsi="Times New Roman" w:cs="Times New Roman"/>
          <w:sz w:val="28"/>
          <w:szCs w:val="28"/>
        </w:rPr>
        <w:t xml:space="preserve"> по их нейтрализации</w:t>
      </w:r>
      <w:r w:rsidR="004C5108">
        <w:rPr>
          <w:rFonts w:ascii="Times New Roman" w:hAnsi="Times New Roman" w:cs="Times New Roman"/>
          <w:sz w:val="28"/>
          <w:szCs w:val="28"/>
        </w:rPr>
        <w:t>. К числу этих рисков</w:t>
      </w:r>
      <w:r w:rsidR="00A55BB2">
        <w:rPr>
          <w:rFonts w:ascii="Times New Roman" w:hAnsi="Times New Roman" w:cs="Times New Roman"/>
          <w:sz w:val="28"/>
          <w:szCs w:val="28"/>
        </w:rPr>
        <w:t xml:space="preserve"> следует отнести:</w:t>
      </w:r>
    </w:p>
    <w:p w:rsidR="00A55BB2" w:rsidRPr="00FA5243" w:rsidRDefault="007E3436" w:rsidP="00C626C9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доходности сельхозтоваропроизводителей</w:t>
      </w:r>
      <w:r w:rsidR="00A55BB2" w:rsidRPr="00FA5243">
        <w:rPr>
          <w:rFonts w:ascii="Times New Roman" w:hAnsi="Times New Roman" w:cs="Times New Roman"/>
          <w:sz w:val="28"/>
          <w:szCs w:val="28"/>
        </w:rPr>
        <w:t>;</w:t>
      </w:r>
    </w:p>
    <w:p w:rsidR="00A55BB2" w:rsidRPr="00FA5243" w:rsidRDefault="00A55BB2" w:rsidP="00C626C9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5243">
        <w:rPr>
          <w:rFonts w:ascii="Times New Roman" w:hAnsi="Times New Roman" w:cs="Times New Roman"/>
          <w:sz w:val="28"/>
          <w:szCs w:val="28"/>
        </w:rPr>
        <w:t>технико-технологическое и инновационн</w:t>
      </w:r>
      <w:r w:rsidR="007E3436">
        <w:rPr>
          <w:rFonts w:ascii="Times New Roman" w:hAnsi="Times New Roman" w:cs="Times New Roman"/>
          <w:sz w:val="28"/>
          <w:szCs w:val="28"/>
        </w:rPr>
        <w:t>о</w:t>
      </w:r>
      <w:r w:rsidRPr="00FA5243">
        <w:rPr>
          <w:rFonts w:ascii="Times New Roman" w:hAnsi="Times New Roman" w:cs="Times New Roman"/>
          <w:sz w:val="28"/>
          <w:szCs w:val="28"/>
        </w:rPr>
        <w:t>е отставани</w:t>
      </w:r>
      <w:r w:rsidR="007E3436">
        <w:rPr>
          <w:rFonts w:ascii="Times New Roman" w:hAnsi="Times New Roman" w:cs="Times New Roman"/>
          <w:sz w:val="28"/>
          <w:szCs w:val="28"/>
        </w:rPr>
        <w:t>е от мирового уровня</w:t>
      </w:r>
      <w:r w:rsidRPr="00FA5243">
        <w:rPr>
          <w:rFonts w:ascii="Times New Roman" w:hAnsi="Times New Roman" w:cs="Times New Roman"/>
          <w:sz w:val="28"/>
          <w:szCs w:val="28"/>
        </w:rPr>
        <w:t>;</w:t>
      </w:r>
    </w:p>
    <w:p w:rsidR="00A55BB2" w:rsidRPr="00FA5243" w:rsidRDefault="00A55BB2" w:rsidP="00C626C9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5243">
        <w:rPr>
          <w:rFonts w:ascii="Times New Roman" w:hAnsi="Times New Roman" w:cs="Times New Roman"/>
          <w:sz w:val="28"/>
          <w:szCs w:val="28"/>
        </w:rPr>
        <w:t xml:space="preserve">ограниченный доступ сельхозпроизводителей к рынкам сбыта в связи с неразвитостью </w:t>
      </w:r>
      <w:r w:rsidR="007E3436">
        <w:rPr>
          <w:rFonts w:ascii="Times New Roman" w:hAnsi="Times New Roman" w:cs="Times New Roman"/>
          <w:sz w:val="28"/>
          <w:szCs w:val="28"/>
        </w:rPr>
        <w:t>инфра</w:t>
      </w:r>
      <w:r w:rsidRPr="00FA5243">
        <w:rPr>
          <w:rFonts w:ascii="Times New Roman" w:hAnsi="Times New Roman" w:cs="Times New Roman"/>
          <w:sz w:val="28"/>
          <w:szCs w:val="28"/>
        </w:rPr>
        <w:t>структуры АПК;</w:t>
      </w:r>
    </w:p>
    <w:p w:rsidR="00A55BB2" w:rsidRPr="00FA5243" w:rsidRDefault="00A55BB2" w:rsidP="00C626C9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5243">
        <w:rPr>
          <w:rFonts w:ascii="Times New Roman" w:hAnsi="Times New Roman" w:cs="Times New Roman"/>
          <w:sz w:val="28"/>
          <w:szCs w:val="28"/>
        </w:rPr>
        <w:t>большое количество посредников в цепочке «от производителя до потребителя»;</w:t>
      </w:r>
    </w:p>
    <w:p w:rsidR="00C028A8" w:rsidRDefault="00C028A8" w:rsidP="00C626C9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слабая защищенность сельхозтоваропроизводителей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407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латильности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 на мировом продовольственном рынке;</w:t>
      </w:r>
    </w:p>
    <w:p w:rsidR="00A55BB2" w:rsidRPr="00FA5243" w:rsidRDefault="00A55BB2" w:rsidP="00C626C9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5243">
        <w:rPr>
          <w:rFonts w:ascii="Times New Roman" w:hAnsi="Times New Roman" w:cs="Times New Roman"/>
          <w:sz w:val="28"/>
          <w:szCs w:val="28"/>
        </w:rPr>
        <w:t>низкая конкурентоспособность</w:t>
      </w:r>
      <w:r w:rsidR="00C028A8">
        <w:rPr>
          <w:rFonts w:ascii="Times New Roman" w:hAnsi="Times New Roman" w:cs="Times New Roman"/>
          <w:sz w:val="28"/>
          <w:szCs w:val="28"/>
        </w:rPr>
        <w:t xml:space="preserve"> сельхозпродукции и продовольствия</w:t>
      </w:r>
      <w:r w:rsidRPr="00FA5243">
        <w:rPr>
          <w:rFonts w:ascii="Times New Roman" w:hAnsi="Times New Roman" w:cs="Times New Roman"/>
          <w:sz w:val="28"/>
          <w:szCs w:val="28"/>
        </w:rPr>
        <w:t xml:space="preserve"> </w:t>
      </w:r>
      <w:r w:rsidR="00C028A8">
        <w:rPr>
          <w:rFonts w:ascii="Times New Roman" w:hAnsi="Times New Roman" w:cs="Times New Roman"/>
          <w:sz w:val="28"/>
          <w:szCs w:val="28"/>
        </w:rPr>
        <w:t xml:space="preserve">вследствие высоких издержек производства, а порой из-за несоответствия </w:t>
      </w:r>
      <w:r w:rsidR="00900360">
        <w:rPr>
          <w:rFonts w:ascii="Times New Roman" w:hAnsi="Times New Roman" w:cs="Times New Roman"/>
          <w:sz w:val="28"/>
          <w:szCs w:val="28"/>
        </w:rPr>
        <w:t>международным стандартам.</w:t>
      </w:r>
    </w:p>
    <w:p w:rsidR="00FD5292" w:rsidRDefault="00A55BB2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риски формируют угрозу потери прод</w:t>
      </w:r>
      <w:r w:rsidR="00FD5292">
        <w:rPr>
          <w:rFonts w:ascii="Times New Roman" w:hAnsi="Times New Roman" w:cs="Times New Roman"/>
          <w:sz w:val="28"/>
          <w:szCs w:val="28"/>
        </w:rPr>
        <w:t>овольственной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ввиду экспансии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высокосубсидируемой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отсюда более дешевой</w:t>
      </w:r>
      <w:r w:rsidR="00FD5292">
        <w:rPr>
          <w:rFonts w:ascii="Times New Roman" w:hAnsi="Times New Roman" w:cs="Times New Roman"/>
          <w:sz w:val="28"/>
          <w:szCs w:val="28"/>
        </w:rPr>
        <w:t xml:space="preserve"> импортной продукции. </w:t>
      </w:r>
      <w:r w:rsidR="00FD5292" w:rsidRPr="00C8029D">
        <w:rPr>
          <w:rFonts w:ascii="Times New Roman" w:hAnsi="Times New Roman" w:cs="Times New Roman"/>
          <w:b/>
          <w:sz w:val="28"/>
          <w:szCs w:val="28"/>
        </w:rPr>
        <w:t xml:space="preserve">При поиске эффективных </w:t>
      </w:r>
      <w:proofErr w:type="gramStart"/>
      <w:r w:rsidR="00FD5292" w:rsidRPr="00C8029D">
        <w:rPr>
          <w:rFonts w:ascii="Times New Roman" w:hAnsi="Times New Roman" w:cs="Times New Roman"/>
          <w:b/>
          <w:sz w:val="28"/>
          <w:szCs w:val="28"/>
        </w:rPr>
        <w:t>решений проблемы обеспечения коллективной продовольственной безопасности государств Союза</w:t>
      </w:r>
      <w:proofErr w:type="gramEnd"/>
      <w:r w:rsidR="00FD5292" w:rsidRPr="00C8029D">
        <w:rPr>
          <w:rFonts w:ascii="Times New Roman" w:hAnsi="Times New Roman" w:cs="Times New Roman"/>
          <w:b/>
          <w:sz w:val="28"/>
          <w:szCs w:val="28"/>
        </w:rPr>
        <w:t xml:space="preserve"> не обойтись без совершенствования принятой согласованной (скоординированной) аграрной политики</w:t>
      </w:r>
      <w:r w:rsidR="006E5C9E">
        <w:rPr>
          <w:rFonts w:ascii="Times New Roman" w:hAnsi="Times New Roman" w:cs="Times New Roman"/>
          <w:b/>
          <w:sz w:val="28"/>
          <w:szCs w:val="28"/>
        </w:rPr>
        <w:t xml:space="preserve"> ЕАЭС</w:t>
      </w:r>
      <w:r w:rsidR="00FD5292">
        <w:rPr>
          <w:rFonts w:ascii="Times New Roman" w:hAnsi="Times New Roman" w:cs="Times New Roman"/>
          <w:sz w:val="28"/>
          <w:szCs w:val="28"/>
        </w:rPr>
        <w:t>.</w:t>
      </w:r>
      <w:r w:rsidR="006E5C9E">
        <w:rPr>
          <w:rFonts w:ascii="Times New Roman" w:hAnsi="Times New Roman" w:cs="Times New Roman"/>
          <w:sz w:val="28"/>
          <w:szCs w:val="28"/>
        </w:rPr>
        <w:t xml:space="preserve"> </w:t>
      </w:r>
      <w:r w:rsidR="00FD5292">
        <w:rPr>
          <w:rFonts w:ascii="Times New Roman" w:hAnsi="Times New Roman" w:cs="Times New Roman"/>
          <w:sz w:val="28"/>
          <w:szCs w:val="28"/>
        </w:rPr>
        <w:t>Фактически</w:t>
      </w:r>
      <w:r w:rsidR="00FA5243">
        <w:rPr>
          <w:rFonts w:ascii="Times New Roman" w:hAnsi="Times New Roman" w:cs="Times New Roman"/>
          <w:sz w:val="28"/>
          <w:szCs w:val="28"/>
        </w:rPr>
        <w:t xml:space="preserve"> </w:t>
      </w:r>
      <w:r w:rsidR="00FD5292">
        <w:rPr>
          <w:rFonts w:ascii="Times New Roman" w:hAnsi="Times New Roman" w:cs="Times New Roman"/>
          <w:sz w:val="28"/>
          <w:szCs w:val="28"/>
        </w:rPr>
        <w:t xml:space="preserve">направления таких преобразований уже и являются предметом </w:t>
      </w:r>
      <w:r w:rsidR="00C028A8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FD5292">
        <w:rPr>
          <w:rFonts w:ascii="Times New Roman" w:hAnsi="Times New Roman" w:cs="Times New Roman"/>
          <w:sz w:val="28"/>
          <w:szCs w:val="28"/>
        </w:rPr>
        <w:t xml:space="preserve">на данной </w:t>
      </w:r>
      <w:r w:rsidR="006E5C9E">
        <w:rPr>
          <w:rFonts w:ascii="Times New Roman" w:hAnsi="Times New Roman" w:cs="Times New Roman"/>
          <w:sz w:val="28"/>
          <w:szCs w:val="28"/>
        </w:rPr>
        <w:t>конференции</w:t>
      </w:r>
      <w:r w:rsidR="00FD5292">
        <w:rPr>
          <w:rFonts w:ascii="Times New Roman" w:hAnsi="Times New Roman" w:cs="Times New Roman"/>
          <w:sz w:val="28"/>
          <w:szCs w:val="28"/>
        </w:rPr>
        <w:t>.</w:t>
      </w:r>
    </w:p>
    <w:p w:rsidR="0089051B" w:rsidRDefault="0089051B" w:rsidP="00C626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организационных и институциональных преобразований целесообразно обратить внимание на формирование и развитие:</w:t>
      </w:r>
    </w:p>
    <w:p w:rsidR="00FD5292" w:rsidRPr="007C53D5" w:rsidRDefault="00FD5292" w:rsidP="007C53D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 xml:space="preserve">совместных финансово-промышленных групп; </w:t>
      </w:r>
    </w:p>
    <w:p w:rsidR="00FD5292" w:rsidRPr="007C53D5" w:rsidRDefault="00FD5292" w:rsidP="007C53D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совместных лизинговых компаний; </w:t>
      </w:r>
    </w:p>
    <w:p w:rsidR="00FD5292" w:rsidRPr="007C53D5" w:rsidRDefault="00EE619E" w:rsidP="007C53D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>межгосударственных</w:t>
      </w:r>
      <w:r w:rsidR="00FD5292" w:rsidRPr="007C53D5">
        <w:rPr>
          <w:rFonts w:ascii="Times New Roman" w:hAnsi="Times New Roman" w:cs="Times New Roman"/>
          <w:sz w:val="28"/>
          <w:szCs w:val="28"/>
        </w:rPr>
        <w:t xml:space="preserve"> объединений;</w:t>
      </w:r>
    </w:p>
    <w:p w:rsidR="00FD5292" w:rsidRPr="007C53D5" w:rsidRDefault="00FD5292" w:rsidP="007C53D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>совместных предприятий;</w:t>
      </w:r>
    </w:p>
    <w:p w:rsidR="00FD5292" w:rsidRPr="007C53D5" w:rsidRDefault="00FD5292" w:rsidP="007C53D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D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26368" w:rsidRPr="007C53D5">
        <w:rPr>
          <w:rFonts w:ascii="Times New Roman" w:hAnsi="Times New Roman" w:cs="Times New Roman"/>
          <w:sz w:val="28"/>
          <w:szCs w:val="28"/>
        </w:rPr>
        <w:t xml:space="preserve">межгосударственных </w:t>
      </w:r>
      <w:r w:rsidRPr="007C53D5">
        <w:rPr>
          <w:rFonts w:ascii="Times New Roman" w:hAnsi="Times New Roman" w:cs="Times New Roman"/>
          <w:sz w:val="28"/>
          <w:szCs w:val="28"/>
        </w:rPr>
        <w:t>отраслевых (продуктовых) ассоциаций или союзов хозяйствующих субъектов.</w:t>
      </w:r>
    </w:p>
    <w:p w:rsidR="00900360" w:rsidRDefault="00FA5243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сказанное о кол</w:t>
      </w:r>
      <w:r w:rsidR="00900360">
        <w:rPr>
          <w:rFonts w:ascii="Times New Roman" w:hAnsi="Times New Roman" w:cs="Times New Roman"/>
          <w:sz w:val="28"/>
          <w:szCs w:val="28"/>
        </w:rPr>
        <w:t>лективной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900360">
        <w:rPr>
          <w:rFonts w:ascii="Times New Roman" w:hAnsi="Times New Roman" w:cs="Times New Roman"/>
          <w:sz w:val="28"/>
          <w:szCs w:val="28"/>
        </w:rPr>
        <w:t>довольственной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относится не только к Евразийско</w:t>
      </w:r>
      <w:r w:rsidR="00144FA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эконо</w:t>
      </w:r>
      <w:r w:rsidR="00900360">
        <w:rPr>
          <w:rFonts w:ascii="Times New Roman" w:hAnsi="Times New Roman" w:cs="Times New Roman"/>
          <w:sz w:val="28"/>
          <w:szCs w:val="28"/>
        </w:rPr>
        <w:t>мическому</w:t>
      </w:r>
      <w:r>
        <w:rPr>
          <w:rFonts w:ascii="Times New Roman" w:hAnsi="Times New Roman" w:cs="Times New Roman"/>
          <w:sz w:val="28"/>
          <w:szCs w:val="28"/>
        </w:rPr>
        <w:t xml:space="preserve"> союзу, но и к любому другому региональному интеграционному формированию</w:t>
      </w:r>
      <w:r w:rsidR="00314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позволю себе остановиться на сравнительном рассмотрении данных мониторинга прод</w:t>
      </w:r>
      <w:r w:rsidR="00900360">
        <w:rPr>
          <w:rFonts w:ascii="Times New Roman" w:hAnsi="Times New Roman" w:cs="Times New Roman"/>
          <w:sz w:val="28"/>
          <w:szCs w:val="28"/>
        </w:rPr>
        <w:t>овольственной</w:t>
      </w:r>
      <w:r>
        <w:rPr>
          <w:rFonts w:ascii="Times New Roman" w:hAnsi="Times New Roman" w:cs="Times New Roman"/>
          <w:sz w:val="28"/>
          <w:szCs w:val="28"/>
        </w:rPr>
        <w:t xml:space="preserve"> независимости </w:t>
      </w:r>
      <w:r w:rsidR="00144FA8">
        <w:rPr>
          <w:rFonts w:ascii="Times New Roman" w:hAnsi="Times New Roman" w:cs="Times New Roman"/>
          <w:sz w:val="28"/>
          <w:szCs w:val="28"/>
        </w:rPr>
        <w:t xml:space="preserve">Европейского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44FA8">
        <w:rPr>
          <w:rFonts w:ascii="Times New Roman" w:hAnsi="Times New Roman" w:cs="Times New Roman"/>
          <w:sz w:val="28"/>
          <w:szCs w:val="28"/>
        </w:rPr>
        <w:t xml:space="preserve">Евразийского </w:t>
      </w:r>
      <w:r w:rsidR="00900360">
        <w:rPr>
          <w:rFonts w:ascii="Times New Roman" w:hAnsi="Times New Roman" w:cs="Times New Roman"/>
          <w:sz w:val="28"/>
          <w:szCs w:val="28"/>
        </w:rPr>
        <w:t>экономических союзов.</w:t>
      </w:r>
    </w:p>
    <w:p w:rsidR="00FA5243" w:rsidRDefault="00FA5243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Данные, представленные </w:t>
      </w:r>
      <w:r w:rsidRPr="00A04C2C">
        <w:rPr>
          <w:rFonts w:ascii="Times New Roman" w:hAnsi="Times New Roman" w:cs="Times New Roman"/>
          <w:sz w:val="28"/>
          <w:szCs w:val="28"/>
        </w:rPr>
        <w:t xml:space="preserve">на </w:t>
      </w:r>
      <w:r w:rsidR="00144FA8" w:rsidRPr="00A04C2C">
        <w:rPr>
          <w:rFonts w:ascii="Times New Roman" w:hAnsi="Times New Roman" w:cs="Times New Roman"/>
          <w:sz w:val="28"/>
          <w:szCs w:val="28"/>
        </w:rPr>
        <w:t>рисунке</w:t>
      </w:r>
      <w:r w:rsidRPr="00A04C2C">
        <w:rPr>
          <w:rFonts w:ascii="Times New Roman" w:hAnsi="Times New Roman" w:cs="Times New Roman"/>
          <w:sz w:val="28"/>
          <w:szCs w:val="28"/>
        </w:rPr>
        <w:t xml:space="preserve"> </w:t>
      </w:r>
      <w:r w:rsidR="007C53D5" w:rsidRPr="00A04C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4577">
        <w:rPr>
          <w:rFonts w:ascii="Times New Roman" w:hAnsi="Times New Roman" w:cs="Times New Roman"/>
          <w:sz w:val="28"/>
          <w:szCs w:val="28"/>
        </w:rPr>
        <w:t xml:space="preserve">на примере свинины и птицы </w:t>
      </w:r>
      <w:r>
        <w:rPr>
          <w:rFonts w:ascii="Times New Roman" w:hAnsi="Times New Roman" w:cs="Times New Roman"/>
          <w:sz w:val="28"/>
          <w:szCs w:val="28"/>
        </w:rPr>
        <w:t xml:space="preserve">четко показывают, что на протяжении последних </w:t>
      </w:r>
      <w:r w:rsidR="003311E2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236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момента </w:t>
      </w:r>
      <w:r w:rsidR="003311E2">
        <w:rPr>
          <w:rFonts w:ascii="Times New Roman" w:hAnsi="Times New Roman" w:cs="Times New Roman"/>
          <w:sz w:val="28"/>
          <w:szCs w:val="28"/>
        </w:rPr>
        <w:t xml:space="preserve">последнего крупного расширения ЕС  его </w:t>
      </w:r>
      <w:r>
        <w:rPr>
          <w:rFonts w:ascii="Times New Roman" w:hAnsi="Times New Roman" w:cs="Times New Roman"/>
          <w:sz w:val="28"/>
          <w:szCs w:val="28"/>
        </w:rPr>
        <w:t>аграрный сектор</w:t>
      </w:r>
      <w:r w:rsidR="002366AE">
        <w:rPr>
          <w:rFonts w:ascii="Times New Roman" w:hAnsi="Times New Roman" w:cs="Times New Roman"/>
          <w:sz w:val="28"/>
          <w:szCs w:val="28"/>
        </w:rPr>
        <w:t>,</w:t>
      </w:r>
      <w:r w:rsidR="00900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3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как и США</w:t>
      </w:r>
      <w:r w:rsidR="00236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функционируют в условиях перепроизводства практически всех чувствительных продуктов питания, которые в силу особенностей </w:t>
      </w:r>
      <w:r w:rsidR="002366AE">
        <w:rPr>
          <w:rFonts w:ascii="Times New Roman" w:hAnsi="Times New Roman" w:cs="Times New Roman"/>
          <w:sz w:val="28"/>
          <w:szCs w:val="28"/>
        </w:rPr>
        <w:t xml:space="preserve">сроков </w:t>
      </w:r>
      <w:r>
        <w:rPr>
          <w:rFonts w:ascii="Times New Roman" w:hAnsi="Times New Roman" w:cs="Times New Roman"/>
          <w:sz w:val="28"/>
          <w:szCs w:val="28"/>
        </w:rPr>
        <w:t xml:space="preserve">годности продовольствия необходимо либо </w:t>
      </w:r>
      <w:r w:rsidR="002366AE">
        <w:rPr>
          <w:rFonts w:ascii="Times New Roman" w:hAnsi="Times New Roman" w:cs="Times New Roman"/>
          <w:sz w:val="28"/>
          <w:szCs w:val="28"/>
        </w:rPr>
        <w:t xml:space="preserve">настойчиво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2366AE">
        <w:rPr>
          <w:rFonts w:ascii="Times New Roman" w:hAnsi="Times New Roman" w:cs="Times New Roman"/>
          <w:sz w:val="28"/>
          <w:szCs w:val="28"/>
        </w:rPr>
        <w:t>двиг</w:t>
      </w:r>
      <w:r>
        <w:rPr>
          <w:rFonts w:ascii="Times New Roman" w:hAnsi="Times New Roman" w:cs="Times New Roman"/>
          <w:sz w:val="28"/>
          <w:szCs w:val="28"/>
        </w:rPr>
        <w:t>ать на доступные рынки, либо в крайнем случае списывать по статье «</w:t>
      </w:r>
      <w:r w:rsidR="002366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90036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вольственная помощь» развивающи</w:t>
      </w:r>
      <w:r w:rsidR="009003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государствам.</w:t>
      </w:r>
    </w:p>
    <w:p w:rsidR="00207CD9" w:rsidRDefault="00207CD9" w:rsidP="00207C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2C">
        <w:rPr>
          <w:rFonts w:ascii="Times New Roman" w:hAnsi="Times New Roman" w:cs="Times New Roman"/>
          <w:b/>
          <w:sz w:val="28"/>
          <w:szCs w:val="28"/>
        </w:rPr>
        <w:t>Свинина</w:t>
      </w:r>
    </w:p>
    <w:p w:rsidR="007C53D5" w:rsidRDefault="007C53D5" w:rsidP="00207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C53D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467350" cy="27622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7CD9" w:rsidRDefault="00207CD9" w:rsidP="0020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D9" w:rsidRPr="00A04C2C" w:rsidRDefault="00207CD9" w:rsidP="0020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2C">
        <w:rPr>
          <w:rFonts w:ascii="Times New Roman" w:hAnsi="Times New Roman" w:cs="Times New Roman"/>
          <w:b/>
          <w:sz w:val="28"/>
          <w:szCs w:val="28"/>
        </w:rPr>
        <w:lastRenderedPageBreak/>
        <w:t>Мясо птицы</w:t>
      </w:r>
    </w:p>
    <w:p w:rsidR="007C53D5" w:rsidRDefault="007C53D5" w:rsidP="00207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C53D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467350" cy="27622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4C2C" w:rsidRDefault="00A04C2C" w:rsidP="00A04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4FA8" w:rsidRPr="00FF358B" w:rsidRDefault="00144FA8" w:rsidP="00A04C2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358B">
        <w:rPr>
          <w:rFonts w:ascii="Times New Roman" w:hAnsi="Times New Roman" w:cs="Times New Roman"/>
          <w:i/>
          <w:sz w:val="24"/>
          <w:szCs w:val="28"/>
        </w:rPr>
        <w:t>Расчет на основе данных ФАО-ОЭСР</w:t>
      </w:r>
    </w:p>
    <w:p w:rsidR="00A04C2C" w:rsidRPr="00A04C2C" w:rsidRDefault="00A04C2C" w:rsidP="00A04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2 – </w:t>
      </w:r>
      <w:r w:rsidRPr="00A04C2C">
        <w:rPr>
          <w:rFonts w:ascii="Times New Roman" w:hAnsi="Times New Roman" w:cs="Times New Roman"/>
          <w:b/>
          <w:sz w:val="28"/>
          <w:szCs w:val="28"/>
        </w:rPr>
        <w:t xml:space="preserve">Фактическое значение и прогноз продовольственной независимости ЕС и ЕАЭС </w:t>
      </w:r>
      <w:r>
        <w:rPr>
          <w:rFonts w:ascii="Times New Roman" w:hAnsi="Times New Roman" w:cs="Times New Roman"/>
          <w:b/>
          <w:sz w:val="28"/>
          <w:szCs w:val="28"/>
        </w:rPr>
        <w:t>по свинине и мясу птицы</w:t>
      </w:r>
    </w:p>
    <w:p w:rsidR="00A04C2C" w:rsidRDefault="00A04C2C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243" w:rsidRDefault="00FA5243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на тех же слайдах данные монит</w:t>
      </w:r>
      <w:r w:rsidR="00900360">
        <w:rPr>
          <w:rFonts w:ascii="Times New Roman" w:hAnsi="Times New Roman" w:cs="Times New Roman"/>
          <w:sz w:val="28"/>
          <w:szCs w:val="28"/>
        </w:rPr>
        <w:t xml:space="preserve">оринга продовольственной </w:t>
      </w:r>
      <w:r>
        <w:rPr>
          <w:rFonts w:ascii="Times New Roman" w:hAnsi="Times New Roman" w:cs="Times New Roman"/>
          <w:sz w:val="28"/>
          <w:szCs w:val="28"/>
        </w:rPr>
        <w:t>независимости госу</w:t>
      </w:r>
      <w:r w:rsidR="0090036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арств ЕАЭС показывают, что наш внутренний рынок является идеальным рынком</w:t>
      </w:r>
      <w:r w:rsidR="00900360">
        <w:rPr>
          <w:rFonts w:ascii="Times New Roman" w:hAnsi="Times New Roman" w:cs="Times New Roman"/>
          <w:sz w:val="28"/>
          <w:szCs w:val="28"/>
        </w:rPr>
        <w:t xml:space="preserve"> сбыта для избыточной продукции</w:t>
      </w:r>
      <w:r w:rsidR="003311E2">
        <w:rPr>
          <w:rFonts w:ascii="Times New Roman" w:hAnsi="Times New Roman" w:cs="Times New Roman"/>
          <w:sz w:val="28"/>
          <w:szCs w:val="28"/>
        </w:rPr>
        <w:t xml:space="preserve"> ЕС</w:t>
      </w:r>
      <w:r w:rsidR="000E4577">
        <w:rPr>
          <w:rFonts w:ascii="Times New Roman" w:hAnsi="Times New Roman" w:cs="Times New Roman"/>
          <w:sz w:val="28"/>
          <w:szCs w:val="28"/>
        </w:rPr>
        <w:t>, поскольку до 2020 г. коэффициент продовольственной независимости ЕАЭС будет меньше 1</w:t>
      </w:r>
      <w:r w:rsidR="003311E2">
        <w:rPr>
          <w:rFonts w:ascii="Times New Roman" w:hAnsi="Times New Roman" w:cs="Times New Roman"/>
          <w:sz w:val="28"/>
          <w:szCs w:val="28"/>
        </w:rPr>
        <w:t>.</w:t>
      </w:r>
      <w:r w:rsidR="00900360">
        <w:rPr>
          <w:rFonts w:ascii="Times New Roman" w:hAnsi="Times New Roman" w:cs="Times New Roman"/>
          <w:sz w:val="28"/>
          <w:szCs w:val="28"/>
        </w:rPr>
        <w:t xml:space="preserve"> </w:t>
      </w:r>
      <w:r w:rsidR="003311E2">
        <w:rPr>
          <w:rFonts w:ascii="Times New Roman" w:hAnsi="Times New Roman" w:cs="Times New Roman"/>
          <w:sz w:val="28"/>
          <w:szCs w:val="28"/>
        </w:rPr>
        <w:t xml:space="preserve">Европейские как, кстати, и другие экспортеры </w:t>
      </w:r>
      <w:r w:rsidR="00900360">
        <w:rPr>
          <w:rFonts w:ascii="Times New Roman" w:hAnsi="Times New Roman" w:cs="Times New Roman"/>
          <w:sz w:val="28"/>
          <w:szCs w:val="28"/>
        </w:rPr>
        <w:t>навяз</w:t>
      </w:r>
      <w:r w:rsidR="003311E2">
        <w:rPr>
          <w:rFonts w:ascii="Times New Roman" w:hAnsi="Times New Roman" w:cs="Times New Roman"/>
          <w:sz w:val="28"/>
          <w:szCs w:val="28"/>
        </w:rPr>
        <w:t>али</w:t>
      </w:r>
      <w:r w:rsidR="00900360">
        <w:rPr>
          <w:rFonts w:ascii="Times New Roman" w:hAnsi="Times New Roman" w:cs="Times New Roman"/>
          <w:sz w:val="28"/>
          <w:szCs w:val="28"/>
        </w:rPr>
        <w:t xml:space="preserve"> нашим государствам существенн</w:t>
      </w:r>
      <w:r w:rsidR="003311E2">
        <w:rPr>
          <w:rFonts w:ascii="Times New Roman" w:hAnsi="Times New Roman" w:cs="Times New Roman"/>
          <w:sz w:val="28"/>
          <w:szCs w:val="28"/>
        </w:rPr>
        <w:t>ое</w:t>
      </w:r>
      <w:r w:rsidR="00900360">
        <w:rPr>
          <w:rFonts w:ascii="Times New Roman" w:hAnsi="Times New Roman" w:cs="Times New Roman"/>
          <w:sz w:val="28"/>
          <w:szCs w:val="28"/>
        </w:rPr>
        <w:t xml:space="preserve"> сокращени</w:t>
      </w:r>
      <w:r w:rsidR="003311E2">
        <w:rPr>
          <w:rFonts w:ascii="Times New Roman" w:hAnsi="Times New Roman" w:cs="Times New Roman"/>
          <w:sz w:val="28"/>
          <w:szCs w:val="28"/>
        </w:rPr>
        <w:t>е</w:t>
      </w:r>
      <w:r w:rsidR="00900360">
        <w:rPr>
          <w:rFonts w:ascii="Times New Roman" w:hAnsi="Times New Roman" w:cs="Times New Roman"/>
          <w:sz w:val="28"/>
          <w:szCs w:val="28"/>
        </w:rPr>
        <w:t xml:space="preserve"> защитных таможенных тарифов по всем перечисленным видам продовольствия</w:t>
      </w:r>
      <w:r w:rsidR="002366AE">
        <w:rPr>
          <w:rFonts w:ascii="Times New Roman" w:hAnsi="Times New Roman" w:cs="Times New Roman"/>
          <w:sz w:val="28"/>
          <w:szCs w:val="28"/>
        </w:rPr>
        <w:t xml:space="preserve"> при вступлении России в ВТО</w:t>
      </w:r>
      <w:r w:rsidR="00900360">
        <w:rPr>
          <w:rFonts w:ascii="Times New Roman" w:hAnsi="Times New Roman" w:cs="Times New Roman"/>
          <w:sz w:val="28"/>
          <w:szCs w:val="28"/>
        </w:rPr>
        <w:t>.</w:t>
      </w:r>
    </w:p>
    <w:p w:rsidR="00900360" w:rsidRDefault="002366AE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Угрозой потери </w:t>
      </w:r>
      <w:r w:rsidR="009C68F3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рынка сбыта объясняется </w:t>
      </w:r>
      <w:r w:rsidR="00900360">
        <w:rPr>
          <w:rFonts w:ascii="Times New Roman" w:hAnsi="Times New Roman" w:cs="Times New Roman"/>
          <w:sz w:val="28"/>
          <w:szCs w:val="28"/>
        </w:rPr>
        <w:t>повышенная агрессивность Европейского союза и чувствительность на объявленн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00360">
        <w:rPr>
          <w:rFonts w:ascii="Times New Roman" w:hAnsi="Times New Roman" w:cs="Times New Roman"/>
          <w:sz w:val="28"/>
          <w:szCs w:val="28"/>
        </w:rPr>
        <w:t xml:space="preserve"> Россией эмбарго на закупку по импорту его субсидированного продовольствия в ущерб </w:t>
      </w:r>
      <w:proofErr w:type="spellStart"/>
      <w:r w:rsidR="00900360">
        <w:rPr>
          <w:rFonts w:ascii="Times New Roman" w:hAnsi="Times New Roman" w:cs="Times New Roman"/>
          <w:sz w:val="28"/>
          <w:szCs w:val="28"/>
        </w:rPr>
        <w:t>недосубсидированному</w:t>
      </w:r>
      <w:proofErr w:type="spellEnd"/>
      <w:r w:rsidR="00900360">
        <w:rPr>
          <w:rFonts w:ascii="Times New Roman" w:hAnsi="Times New Roman" w:cs="Times New Roman"/>
          <w:sz w:val="28"/>
          <w:szCs w:val="28"/>
        </w:rPr>
        <w:t xml:space="preserve"> продовольствию многих развивающихся государств</w:t>
      </w:r>
      <w:r w:rsidR="001E3657">
        <w:rPr>
          <w:rFonts w:ascii="Times New Roman" w:hAnsi="Times New Roman" w:cs="Times New Roman"/>
          <w:sz w:val="28"/>
          <w:szCs w:val="28"/>
        </w:rPr>
        <w:t xml:space="preserve"> (Бразилия, Аргентина, Чили, Эквадор, Уругвай, Турция и другие)</w:t>
      </w:r>
      <w:r w:rsidR="009C68F3">
        <w:rPr>
          <w:rFonts w:ascii="Times New Roman" w:hAnsi="Times New Roman" w:cs="Times New Roman"/>
          <w:sz w:val="28"/>
          <w:szCs w:val="28"/>
        </w:rPr>
        <w:t>.</w:t>
      </w:r>
      <w:r w:rsidR="007A226B">
        <w:rPr>
          <w:rFonts w:ascii="Times New Roman" w:hAnsi="Times New Roman" w:cs="Times New Roman"/>
          <w:sz w:val="28"/>
          <w:szCs w:val="28"/>
        </w:rPr>
        <w:t xml:space="preserve"> </w:t>
      </w:r>
      <w:r w:rsidR="009C68F3">
        <w:rPr>
          <w:rFonts w:ascii="Times New Roman" w:hAnsi="Times New Roman" w:cs="Times New Roman"/>
          <w:sz w:val="28"/>
          <w:szCs w:val="28"/>
        </w:rPr>
        <w:t>Именно с ними</w:t>
      </w:r>
      <w:r w:rsidR="001E3657">
        <w:rPr>
          <w:rFonts w:ascii="Times New Roman" w:hAnsi="Times New Roman" w:cs="Times New Roman"/>
          <w:sz w:val="28"/>
          <w:szCs w:val="28"/>
        </w:rPr>
        <w:t xml:space="preserve"> </w:t>
      </w:r>
      <w:r w:rsidR="00900360">
        <w:rPr>
          <w:rFonts w:ascii="Times New Roman" w:hAnsi="Times New Roman" w:cs="Times New Roman"/>
          <w:sz w:val="28"/>
          <w:szCs w:val="28"/>
        </w:rPr>
        <w:t>в настоящее время соответствующие органы России ведут переговоры</w:t>
      </w:r>
      <w:r w:rsidR="007A226B">
        <w:rPr>
          <w:rFonts w:ascii="Times New Roman" w:hAnsi="Times New Roman" w:cs="Times New Roman"/>
          <w:sz w:val="28"/>
          <w:szCs w:val="28"/>
        </w:rPr>
        <w:t xml:space="preserve"> о поставках видов продовольствия, не производящихся в государствах ЕАЭС</w:t>
      </w:r>
      <w:r w:rsidR="00900360">
        <w:rPr>
          <w:rFonts w:ascii="Times New Roman" w:hAnsi="Times New Roman" w:cs="Times New Roman"/>
          <w:sz w:val="28"/>
          <w:szCs w:val="28"/>
        </w:rPr>
        <w:t>, рассматрива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0360">
        <w:rPr>
          <w:rFonts w:ascii="Times New Roman" w:hAnsi="Times New Roman" w:cs="Times New Roman"/>
          <w:sz w:val="28"/>
          <w:szCs w:val="28"/>
        </w:rPr>
        <w:t xml:space="preserve"> в числе прочих </w:t>
      </w:r>
      <w:r w:rsidR="00900360">
        <w:rPr>
          <w:rFonts w:ascii="Times New Roman" w:hAnsi="Times New Roman" w:cs="Times New Roman"/>
          <w:sz w:val="28"/>
          <w:szCs w:val="28"/>
        </w:rPr>
        <w:lastRenderedPageBreak/>
        <w:t>преимуществ возможности расчетов в национальных валютах или по бартеру.</w:t>
      </w:r>
    </w:p>
    <w:p w:rsidR="005F4D44" w:rsidRPr="007A226B" w:rsidRDefault="001E3657" w:rsidP="00C6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6B">
        <w:rPr>
          <w:rFonts w:ascii="Times New Roman" w:hAnsi="Times New Roman" w:cs="Times New Roman"/>
          <w:sz w:val="28"/>
          <w:szCs w:val="28"/>
        </w:rPr>
        <w:t>С</w:t>
      </w:r>
      <w:r w:rsidR="005F4D44" w:rsidRPr="007A226B">
        <w:rPr>
          <w:rFonts w:ascii="Times New Roman" w:hAnsi="Times New Roman" w:cs="Times New Roman"/>
          <w:sz w:val="28"/>
          <w:szCs w:val="28"/>
        </w:rPr>
        <w:t>пособ разрешения возникшей конфликтной ситуации</w:t>
      </w:r>
      <w:r w:rsidRPr="007A226B">
        <w:rPr>
          <w:rFonts w:ascii="Times New Roman" w:hAnsi="Times New Roman" w:cs="Times New Roman"/>
          <w:sz w:val="28"/>
          <w:szCs w:val="28"/>
        </w:rPr>
        <w:t xml:space="preserve"> между Россией и западными странами</w:t>
      </w:r>
      <w:r w:rsidR="005F4D44" w:rsidRPr="007A226B">
        <w:rPr>
          <w:rFonts w:ascii="Times New Roman" w:hAnsi="Times New Roman" w:cs="Times New Roman"/>
          <w:sz w:val="28"/>
          <w:szCs w:val="28"/>
        </w:rPr>
        <w:t>, используемый в настоящее время, отнюдь не является наилучшим механизмом. Конечно, гораздо эффективней было бы проведение на международной арене солидарной коллективной политики.</w:t>
      </w:r>
    </w:p>
    <w:p w:rsidR="006D19C5" w:rsidRDefault="006D19C5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Принятая </w:t>
      </w:r>
      <w:r w:rsidR="00A7253D">
        <w:rPr>
          <w:rFonts w:ascii="Times New Roman" w:hAnsi="Times New Roman" w:cs="Times New Roman"/>
          <w:sz w:val="28"/>
          <w:szCs w:val="28"/>
        </w:rPr>
        <w:t xml:space="preserve">аграрная </w:t>
      </w:r>
      <w:r>
        <w:rPr>
          <w:rFonts w:ascii="Times New Roman" w:hAnsi="Times New Roman" w:cs="Times New Roman"/>
          <w:sz w:val="28"/>
          <w:szCs w:val="28"/>
        </w:rPr>
        <w:t>политика</w:t>
      </w:r>
      <w:r w:rsidR="00223949">
        <w:rPr>
          <w:rFonts w:ascii="Times New Roman" w:hAnsi="Times New Roman" w:cs="Times New Roman"/>
          <w:sz w:val="28"/>
          <w:szCs w:val="28"/>
        </w:rPr>
        <w:t>, изложенная в учредительном документе</w:t>
      </w:r>
      <w:r w:rsidR="00DA3E25" w:rsidRPr="00DA3E25">
        <w:rPr>
          <w:rFonts w:ascii="Times New Roman" w:hAnsi="Times New Roman" w:cs="Times New Roman"/>
          <w:sz w:val="28"/>
          <w:szCs w:val="28"/>
        </w:rPr>
        <w:t xml:space="preserve"> </w:t>
      </w:r>
      <w:r w:rsidR="00DA3E25">
        <w:rPr>
          <w:rFonts w:ascii="Times New Roman" w:hAnsi="Times New Roman" w:cs="Times New Roman"/>
          <w:sz w:val="28"/>
          <w:szCs w:val="28"/>
        </w:rPr>
        <w:t>ЕАЭС</w:t>
      </w:r>
      <w:r w:rsidR="00223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согласованную (скоординированную), но не единую аграрную политику.</w:t>
      </w:r>
    </w:p>
    <w:p w:rsidR="006D19C5" w:rsidRDefault="006D19C5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принципиально отличается от аграрной политики Европейского союза, где существуют единые экономические правила, как внутри этого </w:t>
      </w:r>
      <w:r w:rsidR="002239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оюза, так и во взаимоотношениях с третьими странами. В ЕС созда</w:t>
      </w:r>
      <w:r w:rsidR="00223949">
        <w:rPr>
          <w:rFonts w:ascii="Times New Roman" w:hAnsi="Times New Roman" w:cs="Times New Roman"/>
          <w:sz w:val="28"/>
          <w:szCs w:val="28"/>
        </w:rPr>
        <w:t>ны два финансовых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223949">
        <w:rPr>
          <w:rFonts w:ascii="Times New Roman" w:hAnsi="Times New Roman" w:cs="Times New Roman"/>
          <w:sz w:val="28"/>
          <w:szCs w:val="28"/>
        </w:rPr>
        <w:t xml:space="preserve">а (фонд </w:t>
      </w:r>
      <w:r w:rsidR="000156A5">
        <w:rPr>
          <w:rFonts w:ascii="Times New Roman" w:hAnsi="Times New Roman" w:cs="Times New Roman"/>
          <w:sz w:val="28"/>
          <w:szCs w:val="28"/>
        </w:rPr>
        <w:t>гарантирования</w:t>
      </w:r>
      <w:r w:rsidR="00223949">
        <w:rPr>
          <w:rFonts w:ascii="Times New Roman" w:hAnsi="Times New Roman" w:cs="Times New Roman"/>
          <w:sz w:val="28"/>
          <w:szCs w:val="28"/>
        </w:rPr>
        <w:t xml:space="preserve"> и фонд устойчивого развития)</w:t>
      </w:r>
      <w:r>
        <w:rPr>
          <w:rFonts w:ascii="Times New Roman" w:hAnsi="Times New Roman" w:cs="Times New Roman"/>
          <w:sz w:val="28"/>
          <w:szCs w:val="28"/>
        </w:rPr>
        <w:t>, из котор</w:t>
      </w:r>
      <w:r w:rsidR="0022394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поддержка фермеров</w:t>
      </w:r>
      <w:r w:rsidR="00C11BBF">
        <w:rPr>
          <w:rFonts w:ascii="Times New Roman" w:hAnsi="Times New Roman" w:cs="Times New Roman"/>
          <w:sz w:val="28"/>
          <w:szCs w:val="28"/>
        </w:rPr>
        <w:t>.</w:t>
      </w:r>
      <w:r w:rsidR="00223949">
        <w:rPr>
          <w:rFonts w:ascii="Times New Roman" w:hAnsi="Times New Roman" w:cs="Times New Roman"/>
          <w:sz w:val="28"/>
          <w:szCs w:val="28"/>
        </w:rPr>
        <w:t xml:space="preserve"> </w:t>
      </w:r>
      <w:r w:rsidR="00654BF1">
        <w:rPr>
          <w:rFonts w:ascii="Times New Roman" w:hAnsi="Times New Roman" w:cs="Times New Roman"/>
          <w:sz w:val="28"/>
          <w:szCs w:val="28"/>
        </w:rPr>
        <w:t xml:space="preserve">Размеры этих фондов представлены </w:t>
      </w:r>
      <w:r w:rsidR="00A04C2C" w:rsidRPr="00A04C2C">
        <w:rPr>
          <w:rFonts w:ascii="Times New Roman" w:hAnsi="Times New Roman" w:cs="Times New Roman"/>
          <w:sz w:val="28"/>
          <w:szCs w:val="28"/>
        </w:rPr>
        <w:t>в таблице 1</w:t>
      </w:r>
      <w:r w:rsidR="00654BF1">
        <w:rPr>
          <w:rFonts w:ascii="Times New Roman" w:hAnsi="Times New Roman" w:cs="Times New Roman"/>
          <w:sz w:val="28"/>
          <w:szCs w:val="28"/>
        </w:rPr>
        <w:t>. Как видно, их значения превышают совокупные показатели поддержки стран ЕАЭС в разы. В ЕС</w:t>
      </w:r>
      <w:r>
        <w:rPr>
          <w:rFonts w:ascii="Times New Roman" w:hAnsi="Times New Roman" w:cs="Times New Roman"/>
          <w:sz w:val="28"/>
          <w:szCs w:val="28"/>
        </w:rPr>
        <w:t xml:space="preserve"> существуют определенные ценовые и иные преференции, </w:t>
      </w:r>
      <w:r w:rsidR="00223949">
        <w:rPr>
          <w:rFonts w:ascii="Times New Roman" w:hAnsi="Times New Roman" w:cs="Times New Roman"/>
          <w:sz w:val="28"/>
          <w:szCs w:val="28"/>
        </w:rPr>
        <w:t>которые сдерживают ц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22394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м</w:t>
      </w:r>
      <w:r w:rsidR="00223949">
        <w:rPr>
          <w:rFonts w:ascii="Times New Roman" w:hAnsi="Times New Roman" w:cs="Times New Roman"/>
          <w:sz w:val="28"/>
          <w:szCs w:val="28"/>
        </w:rPr>
        <w:t>атериальные</w:t>
      </w:r>
      <w:r>
        <w:rPr>
          <w:rFonts w:ascii="Times New Roman" w:hAnsi="Times New Roman" w:cs="Times New Roman"/>
          <w:sz w:val="28"/>
          <w:szCs w:val="28"/>
        </w:rPr>
        <w:t xml:space="preserve"> ресурсы для сельского хозяйства и в целом рост продовольственной инфляции.</w:t>
      </w:r>
      <w:r w:rsidR="00C1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DD7" w:rsidRDefault="00861DD7" w:rsidP="00861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2C">
        <w:rPr>
          <w:rFonts w:ascii="Times New Roman" w:hAnsi="Times New Roman" w:cs="Times New Roman"/>
          <w:b/>
          <w:sz w:val="28"/>
          <w:szCs w:val="28"/>
        </w:rPr>
        <w:t xml:space="preserve">Табл. 1 – Расходы бюджета ЕС на проведение </w:t>
      </w:r>
    </w:p>
    <w:p w:rsidR="00861DD7" w:rsidRDefault="00861DD7" w:rsidP="00861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2C">
        <w:rPr>
          <w:rFonts w:ascii="Times New Roman" w:hAnsi="Times New Roman" w:cs="Times New Roman"/>
          <w:b/>
          <w:sz w:val="28"/>
          <w:szCs w:val="28"/>
        </w:rPr>
        <w:t xml:space="preserve">Единой сельскохозяйственной политики, </w:t>
      </w:r>
      <w:proofErr w:type="spellStart"/>
      <w:proofErr w:type="gramStart"/>
      <w:r w:rsidRPr="00A04C2C">
        <w:rPr>
          <w:rFonts w:ascii="Times New Roman" w:hAnsi="Times New Roman" w:cs="Times New Roman"/>
          <w:b/>
          <w:sz w:val="28"/>
          <w:szCs w:val="28"/>
        </w:rPr>
        <w:t>млрд</w:t>
      </w:r>
      <w:proofErr w:type="spellEnd"/>
      <w:proofErr w:type="gramEnd"/>
      <w:r w:rsidRPr="00A04C2C">
        <w:rPr>
          <w:rFonts w:ascii="Times New Roman" w:hAnsi="Times New Roman" w:cs="Times New Roman"/>
          <w:b/>
          <w:sz w:val="28"/>
          <w:szCs w:val="28"/>
        </w:rPr>
        <w:t xml:space="preserve"> евро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59"/>
        <w:gridCol w:w="2062"/>
        <w:gridCol w:w="2062"/>
        <w:gridCol w:w="2060"/>
      </w:tblGrid>
      <w:tr w:rsidR="00861DD7" w:rsidRPr="00861DD7" w:rsidTr="00861DD7">
        <w:trPr>
          <w:trHeight w:val="912"/>
        </w:trPr>
        <w:tc>
          <w:tcPr>
            <w:tcW w:w="179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B8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B8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2011 </w:t>
            </w:r>
          </w:p>
        </w:tc>
        <w:tc>
          <w:tcPr>
            <w:tcW w:w="106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B80A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2012 </w:t>
            </w:r>
          </w:p>
        </w:tc>
        <w:tc>
          <w:tcPr>
            <w:tcW w:w="106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B80A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2013 </w:t>
            </w:r>
          </w:p>
        </w:tc>
      </w:tr>
      <w:tr w:rsidR="00861DD7" w:rsidRPr="00861DD7" w:rsidTr="00861DD7">
        <w:trPr>
          <w:trHeight w:val="125"/>
        </w:trPr>
        <w:tc>
          <w:tcPr>
            <w:tcW w:w="179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Бюджет ЕС</w:t>
            </w:r>
          </w:p>
        </w:tc>
        <w:tc>
          <w:tcPr>
            <w:tcW w:w="106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141,0</w:t>
            </w:r>
          </w:p>
        </w:tc>
        <w:tc>
          <w:tcPr>
            <w:tcW w:w="106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144,3</w:t>
            </w:r>
          </w:p>
        </w:tc>
        <w:tc>
          <w:tcPr>
            <w:tcW w:w="106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147,3</w:t>
            </w:r>
          </w:p>
        </w:tc>
      </w:tr>
      <w:tr w:rsidR="00861DD7" w:rsidRPr="00861DD7" w:rsidTr="00861DD7">
        <w:tc>
          <w:tcPr>
            <w:tcW w:w="17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Расходы фондов поддержки сельского хозяйства, всего</w:t>
            </w:r>
          </w:p>
        </w:tc>
        <w:tc>
          <w:tcPr>
            <w:tcW w:w="10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57,9</w:t>
            </w:r>
          </w:p>
        </w:tc>
        <w:tc>
          <w:tcPr>
            <w:tcW w:w="10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58,4</w:t>
            </w:r>
          </w:p>
        </w:tc>
        <w:tc>
          <w:tcPr>
            <w:tcW w:w="10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58,6</w:t>
            </w:r>
          </w:p>
        </w:tc>
      </w:tr>
      <w:tr w:rsidR="00861DD7" w:rsidRPr="00861DD7" w:rsidTr="00861DD7">
        <w:tc>
          <w:tcPr>
            <w:tcW w:w="17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0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DD7" w:rsidRPr="00861DD7" w:rsidTr="00861DD7">
        <w:tc>
          <w:tcPr>
            <w:tcW w:w="17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Фонд гарантирования</w:t>
            </w:r>
          </w:p>
        </w:tc>
        <w:tc>
          <w:tcPr>
            <w:tcW w:w="10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43,5</w:t>
            </w:r>
          </w:p>
        </w:tc>
        <w:tc>
          <w:tcPr>
            <w:tcW w:w="10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43,7</w:t>
            </w:r>
          </w:p>
        </w:tc>
        <w:tc>
          <w:tcPr>
            <w:tcW w:w="10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43,9</w:t>
            </w:r>
          </w:p>
        </w:tc>
      </w:tr>
      <w:tr w:rsidR="00861DD7" w:rsidRPr="00861DD7" w:rsidTr="00861DD7">
        <w:trPr>
          <w:trHeight w:val="92"/>
        </w:trPr>
        <w:tc>
          <w:tcPr>
            <w:tcW w:w="17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Фонд устойчивого развития</w:t>
            </w:r>
          </w:p>
        </w:tc>
        <w:tc>
          <w:tcPr>
            <w:tcW w:w="10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14,4</w:t>
            </w:r>
          </w:p>
        </w:tc>
        <w:tc>
          <w:tcPr>
            <w:tcW w:w="10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14,7</w:t>
            </w:r>
          </w:p>
        </w:tc>
        <w:tc>
          <w:tcPr>
            <w:tcW w:w="10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DD7" w:rsidRPr="00861DD7" w:rsidRDefault="00861DD7" w:rsidP="0086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DD7">
              <w:rPr>
                <w:rFonts w:ascii="Times New Roman" w:hAnsi="Times New Roman" w:cs="Times New Roman"/>
                <w:sz w:val="24"/>
                <w:szCs w:val="28"/>
              </w:rPr>
              <w:t>14,7</w:t>
            </w:r>
          </w:p>
        </w:tc>
      </w:tr>
    </w:tbl>
    <w:p w:rsidR="00861DD7" w:rsidRDefault="00861DD7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9C5" w:rsidRDefault="006D19C5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возникает несколько проблем, которые, на наш взгляд, подлежат внимательному рассмотрению и выработк</w:t>
      </w:r>
      <w:r w:rsidR="00C11B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единых подходов</w:t>
      </w:r>
      <w:r w:rsidR="00223949">
        <w:rPr>
          <w:rFonts w:ascii="Times New Roman" w:hAnsi="Times New Roman" w:cs="Times New Roman"/>
          <w:sz w:val="28"/>
          <w:szCs w:val="28"/>
        </w:rPr>
        <w:t xml:space="preserve"> к реализации аграрной политик</w:t>
      </w:r>
      <w:r w:rsidR="00751D76">
        <w:rPr>
          <w:rFonts w:ascii="Times New Roman" w:hAnsi="Times New Roman" w:cs="Times New Roman"/>
          <w:sz w:val="28"/>
          <w:szCs w:val="28"/>
        </w:rPr>
        <w:t>и</w:t>
      </w:r>
      <w:r w:rsidR="00223949">
        <w:rPr>
          <w:rFonts w:ascii="Times New Roman" w:hAnsi="Times New Roman" w:cs="Times New Roman"/>
          <w:sz w:val="28"/>
          <w:szCs w:val="28"/>
        </w:rPr>
        <w:t xml:space="preserve"> ЕАЭС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9C5" w:rsidRDefault="006D19C5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это вопрос</w:t>
      </w:r>
      <w:r w:rsidR="003142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 какой уровень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мы можем рассчитывать как </w:t>
      </w:r>
      <w:r w:rsidR="00223949">
        <w:rPr>
          <w:rFonts w:ascii="Times New Roman" w:hAnsi="Times New Roman" w:cs="Times New Roman"/>
          <w:sz w:val="28"/>
          <w:szCs w:val="28"/>
        </w:rPr>
        <w:t>в ближайшие годы, например, до 2020 года</w:t>
      </w:r>
      <w:r>
        <w:rPr>
          <w:rFonts w:ascii="Times New Roman" w:hAnsi="Times New Roman" w:cs="Times New Roman"/>
          <w:sz w:val="28"/>
          <w:szCs w:val="28"/>
        </w:rPr>
        <w:t>, так и</w:t>
      </w:r>
      <w:r w:rsidR="00223949">
        <w:rPr>
          <w:rFonts w:ascii="Times New Roman" w:hAnsi="Times New Roman" w:cs="Times New Roman"/>
          <w:sz w:val="28"/>
          <w:szCs w:val="28"/>
        </w:rPr>
        <w:t xml:space="preserve"> в более отдаленной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9C5" w:rsidRDefault="00E7196C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сейчас</w:t>
      </w:r>
      <w:r w:rsidR="00314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условиях свободного передвижения сельскохозяйственной продукции и продовольствия на всей таможенной территории Евразийского экономического союза, важно определиться, как должн</w:t>
      </w:r>
      <w:r w:rsidR="00751D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согласованная система</w:t>
      </w:r>
      <w:r w:rsidR="00C11BBF">
        <w:rPr>
          <w:rFonts w:ascii="Times New Roman" w:hAnsi="Times New Roman" w:cs="Times New Roman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sz w:val="28"/>
          <w:szCs w:val="28"/>
        </w:rPr>
        <w:t xml:space="preserve"> индикативных балансов, </w:t>
      </w:r>
      <w:r w:rsidR="006A7C5A">
        <w:rPr>
          <w:rFonts w:ascii="Times New Roman" w:hAnsi="Times New Roman" w:cs="Times New Roman"/>
          <w:sz w:val="28"/>
          <w:szCs w:val="28"/>
        </w:rPr>
        <w:t xml:space="preserve">формы и механизмы </w:t>
      </w:r>
      <w:r w:rsidR="00C11BBF">
        <w:rPr>
          <w:rFonts w:ascii="Times New Roman" w:hAnsi="Times New Roman" w:cs="Times New Roman"/>
          <w:sz w:val="28"/>
          <w:szCs w:val="28"/>
        </w:rPr>
        <w:t xml:space="preserve">квотирования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D19C5">
        <w:rPr>
          <w:rFonts w:ascii="Times New Roman" w:hAnsi="Times New Roman" w:cs="Times New Roman"/>
          <w:sz w:val="28"/>
          <w:szCs w:val="28"/>
        </w:rPr>
        <w:t>государственной поддержки отрасли.</w:t>
      </w:r>
    </w:p>
    <w:p w:rsidR="006D19C5" w:rsidRDefault="006D19C5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27">
        <w:rPr>
          <w:rFonts w:ascii="Times New Roman" w:hAnsi="Times New Roman" w:cs="Times New Roman"/>
          <w:sz w:val="28"/>
          <w:szCs w:val="28"/>
        </w:rPr>
        <w:t xml:space="preserve">Надо сказать, что существуют определенные </w:t>
      </w:r>
      <w:r w:rsidR="00E7196C" w:rsidRPr="00FB7B27">
        <w:rPr>
          <w:rFonts w:ascii="Times New Roman" w:hAnsi="Times New Roman" w:cs="Times New Roman"/>
          <w:sz w:val="28"/>
          <w:szCs w:val="28"/>
        </w:rPr>
        <w:t xml:space="preserve">отличия </w:t>
      </w:r>
      <w:r w:rsidRPr="00FB7B27">
        <w:rPr>
          <w:rFonts w:ascii="Times New Roman" w:hAnsi="Times New Roman" w:cs="Times New Roman"/>
          <w:sz w:val="28"/>
          <w:szCs w:val="28"/>
        </w:rPr>
        <w:t xml:space="preserve">между положениями </w:t>
      </w:r>
      <w:r w:rsidR="00FB7B27" w:rsidRPr="00FB7B27">
        <w:rPr>
          <w:rFonts w:ascii="Times New Roman" w:hAnsi="Times New Roman" w:cs="Times New Roman"/>
          <w:sz w:val="28"/>
          <w:szCs w:val="28"/>
        </w:rPr>
        <w:t>Договора о Евразийском экономическом союзе в части агропромышленного комплекса и приложением к этому Договору, в котором изложены меры государственной поддержки сельского хозяйства, практически полностью повторяющие механизмы</w:t>
      </w:r>
      <w:r w:rsidRPr="00FB7B27">
        <w:rPr>
          <w:rFonts w:ascii="Times New Roman" w:hAnsi="Times New Roman" w:cs="Times New Roman"/>
          <w:sz w:val="28"/>
          <w:szCs w:val="28"/>
        </w:rPr>
        <w:t>, действующи</w:t>
      </w:r>
      <w:r w:rsidR="00E7196C" w:rsidRPr="00FB7B27">
        <w:rPr>
          <w:rFonts w:ascii="Times New Roman" w:hAnsi="Times New Roman" w:cs="Times New Roman"/>
          <w:sz w:val="28"/>
          <w:szCs w:val="28"/>
        </w:rPr>
        <w:t>е</w:t>
      </w:r>
      <w:r w:rsidRPr="00FB7B27">
        <w:rPr>
          <w:rFonts w:ascii="Times New Roman" w:hAnsi="Times New Roman" w:cs="Times New Roman"/>
          <w:sz w:val="28"/>
          <w:szCs w:val="28"/>
        </w:rPr>
        <w:t xml:space="preserve"> в Европейском союзе.</w:t>
      </w:r>
    </w:p>
    <w:p w:rsidR="006D19C5" w:rsidRDefault="006D19C5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было бы целесообразно продвигаться </w:t>
      </w:r>
      <w:r w:rsidR="003E3F57">
        <w:rPr>
          <w:rFonts w:ascii="Times New Roman" w:hAnsi="Times New Roman" w:cs="Times New Roman"/>
          <w:sz w:val="28"/>
          <w:szCs w:val="28"/>
        </w:rPr>
        <w:t xml:space="preserve">по ряду направлений </w:t>
      </w:r>
      <w:r>
        <w:rPr>
          <w:rFonts w:ascii="Times New Roman" w:hAnsi="Times New Roman" w:cs="Times New Roman"/>
          <w:sz w:val="28"/>
          <w:szCs w:val="28"/>
        </w:rPr>
        <w:t>к модели, принятой в Европейском союзе</w:t>
      </w:r>
      <w:r w:rsidR="003E3F57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ожет быть сначала по отдельным видам продукции, а затем</w:t>
      </w:r>
      <w:r w:rsidR="00E71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расширяя его перечень</w:t>
      </w:r>
      <w:r w:rsidR="00E71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выйти на создание Един</w:t>
      </w:r>
      <w:r w:rsidR="00E7196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E7196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A10">
        <w:rPr>
          <w:rFonts w:ascii="Times New Roman" w:hAnsi="Times New Roman" w:cs="Times New Roman"/>
          <w:sz w:val="28"/>
          <w:szCs w:val="28"/>
        </w:rPr>
        <w:t>гарантирования</w:t>
      </w:r>
      <w:r w:rsidR="00E7196C">
        <w:rPr>
          <w:rFonts w:ascii="Times New Roman" w:hAnsi="Times New Roman" w:cs="Times New Roman"/>
          <w:sz w:val="28"/>
          <w:szCs w:val="28"/>
        </w:rPr>
        <w:t xml:space="preserve"> и </w:t>
      </w:r>
      <w:r w:rsidR="00264A10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264A10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9C5" w:rsidRDefault="006D19C5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D76">
        <w:rPr>
          <w:rFonts w:ascii="Times New Roman" w:hAnsi="Times New Roman" w:cs="Times New Roman"/>
          <w:sz w:val="28"/>
          <w:szCs w:val="28"/>
        </w:rPr>
        <w:t>Другая сложная проблема, на наш взгляд, заключается в том, что страны</w:t>
      </w:r>
      <w:r w:rsidR="00640431" w:rsidRPr="00751D76">
        <w:rPr>
          <w:rFonts w:ascii="Times New Roman" w:hAnsi="Times New Roman" w:cs="Times New Roman"/>
          <w:sz w:val="28"/>
          <w:szCs w:val="28"/>
        </w:rPr>
        <w:t xml:space="preserve"> Союза </w:t>
      </w:r>
      <w:r w:rsidRPr="00751D76">
        <w:rPr>
          <w:rFonts w:ascii="Times New Roman" w:hAnsi="Times New Roman" w:cs="Times New Roman"/>
          <w:sz w:val="28"/>
          <w:szCs w:val="28"/>
        </w:rPr>
        <w:t>серьезно различаются по уровню продовольственной независимости. Очевидно, что Республика Беларусь находится в более благоприятной ситуации в этом отношении, где уровень производства обеспечивает не только полное удовлетворение внутренних потребностей, особенно в продукции животноводства, но и сформировавш</w:t>
      </w:r>
      <w:r w:rsidR="00916DDC" w:rsidRPr="00751D76">
        <w:rPr>
          <w:rFonts w:ascii="Times New Roman" w:hAnsi="Times New Roman" w:cs="Times New Roman"/>
          <w:sz w:val="28"/>
          <w:szCs w:val="28"/>
        </w:rPr>
        <w:t>ийся</w:t>
      </w:r>
      <w:r w:rsidRPr="00751D76">
        <w:rPr>
          <w:rFonts w:ascii="Times New Roman" w:hAnsi="Times New Roman" w:cs="Times New Roman"/>
          <w:sz w:val="28"/>
          <w:szCs w:val="28"/>
        </w:rPr>
        <w:t xml:space="preserve"> высокий экспортный </w:t>
      </w:r>
      <w:r w:rsidRPr="00751D76">
        <w:rPr>
          <w:rFonts w:ascii="Times New Roman" w:hAnsi="Times New Roman" w:cs="Times New Roman"/>
          <w:sz w:val="28"/>
          <w:szCs w:val="28"/>
        </w:rPr>
        <w:lastRenderedPageBreak/>
        <w:t>потенциал. Правда, существуют определенн</w:t>
      </w:r>
      <w:r w:rsidR="00640431" w:rsidRPr="00751D76">
        <w:rPr>
          <w:rFonts w:ascii="Times New Roman" w:hAnsi="Times New Roman" w:cs="Times New Roman"/>
          <w:sz w:val="28"/>
          <w:szCs w:val="28"/>
        </w:rPr>
        <w:t>ая</w:t>
      </w:r>
      <w:r w:rsidRPr="00751D76">
        <w:rPr>
          <w:rFonts w:ascii="Times New Roman" w:hAnsi="Times New Roman" w:cs="Times New Roman"/>
          <w:sz w:val="28"/>
          <w:szCs w:val="28"/>
        </w:rPr>
        <w:t xml:space="preserve"> </w:t>
      </w:r>
      <w:r w:rsidR="00640431" w:rsidRPr="00751D76">
        <w:rPr>
          <w:rFonts w:ascii="Times New Roman" w:hAnsi="Times New Roman" w:cs="Times New Roman"/>
          <w:sz w:val="28"/>
          <w:szCs w:val="28"/>
        </w:rPr>
        <w:t>дифференциация</w:t>
      </w:r>
      <w:r w:rsidRPr="00751D76">
        <w:rPr>
          <w:rFonts w:ascii="Times New Roman" w:hAnsi="Times New Roman" w:cs="Times New Roman"/>
          <w:sz w:val="28"/>
          <w:szCs w:val="28"/>
        </w:rPr>
        <w:t xml:space="preserve"> в доходах населения, </w:t>
      </w:r>
      <w:r w:rsidR="00207CD9" w:rsidRPr="00751D76">
        <w:rPr>
          <w:rFonts w:ascii="Times New Roman" w:hAnsi="Times New Roman" w:cs="Times New Roman"/>
          <w:sz w:val="28"/>
          <w:szCs w:val="28"/>
        </w:rPr>
        <w:t>а,</w:t>
      </w:r>
      <w:r w:rsidR="0007591D" w:rsidRPr="00751D76">
        <w:rPr>
          <w:rFonts w:ascii="Times New Roman" w:hAnsi="Times New Roman" w:cs="Times New Roman"/>
          <w:sz w:val="28"/>
          <w:szCs w:val="28"/>
        </w:rPr>
        <w:t xml:space="preserve"> </w:t>
      </w:r>
      <w:r w:rsidR="00207CD9" w:rsidRPr="00751D76">
        <w:rPr>
          <w:rFonts w:ascii="Times New Roman" w:hAnsi="Times New Roman" w:cs="Times New Roman"/>
          <w:sz w:val="28"/>
          <w:szCs w:val="28"/>
        </w:rPr>
        <w:t>следовательно,</w:t>
      </w:r>
      <w:r w:rsidR="0007591D" w:rsidRPr="00751D76">
        <w:rPr>
          <w:rFonts w:ascii="Times New Roman" w:hAnsi="Times New Roman" w:cs="Times New Roman"/>
          <w:sz w:val="28"/>
          <w:szCs w:val="28"/>
        </w:rPr>
        <w:t xml:space="preserve"> потребления продуктов на душу населения. </w:t>
      </w:r>
    </w:p>
    <w:p w:rsidR="00FB7B27" w:rsidRDefault="00861DD7" w:rsidP="00FB7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Табл. 2 – </w:t>
      </w:r>
      <w:r w:rsidR="00FB7B27" w:rsidRPr="002A745A">
        <w:rPr>
          <w:rFonts w:ascii="Times New Roman" w:hAnsi="Times New Roman" w:cs="Times New Roman"/>
          <w:b/>
          <w:bCs/>
          <w:sz w:val="28"/>
          <w:szCs w:val="28"/>
        </w:rPr>
        <w:t>Уровень продовольственной независимости</w:t>
      </w:r>
      <w:r w:rsidR="00FB7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7B27" w:rsidRPr="002A745A">
        <w:rPr>
          <w:rFonts w:ascii="Times New Roman" w:hAnsi="Times New Roman" w:cs="Times New Roman"/>
          <w:b/>
          <w:bCs/>
          <w:sz w:val="28"/>
          <w:szCs w:val="28"/>
        </w:rPr>
        <w:t>стран ЕАЭС, %</w:t>
      </w:r>
      <w:r w:rsidR="00FB7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4847" w:type="pct"/>
        <w:tblInd w:w="144" w:type="dxa"/>
        <w:tblCellMar>
          <w:left w:w="0" w:type="dxa"/>
          <w:right w:w="0" w:type="dxa"/>
        </w:tblCellMar>
        <w:tblLook w:val="04A0"/>
      </w:tblPr>
      <w:tblGrid>
        <w:gridCol w:w="3104"/>
        <w:gridCol w:w="2131"/>
        <w:gridCol w:w="2131"/>
        <w:gridCol w:w="1982"/>
      </w:tblGrid>
      <w:tr w:rsidR="00FB7B27" w:rsidRPr="002A745A" w:rsidTr="00861DD7">
        <w:trPr>
          <w:trHeight w:val="607"/>
        </w:trPr>
        <w:tc>
          <w:tcPr>
            <w:tcW w:w="16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B8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B80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Беларусь</w:t>
            </w:r>
            <w:r w:rsidRPr="002A745A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B8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Казахстан</w:t>
            </w:r>
            <w:r w:rsidRPr="002A745A">
              <w:rPr>
                <w:rFonts w:ascii="Perpetua" w:eastAsia="Times New Roman" w:hAnsi="Perpetua" w:cs="Perpetua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B80A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Россия</w:t>
            </w:r>
            <w:r w:rsidRPr="002A745A">
              <w:rPr>
                <w:rFonts w:ascii="Perpetua" w:eastAsia="Times New Roman" w:hAnsi="Perpetua" w:cs="Perpetua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***</w:t>
            </w:r>
          </w:p>
        </w:tc>
      </w:tr>
      <w:tr w:rsidR="00FB7B27" w:rsidRPr="002A745A" w:rsidTr="00861DD7">
        <w:trPr>
          <w:trHeight w:val="125"/>
        </w:trPr>
        <w:tc>
          <w:tcPr>
            <w:tcW w:w="166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114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4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6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108</w:t>
            </w:r>
          </w:p>
        </w:tc>
      </w:tr>
      <w:tr w:rsidR="00FB7B27" w:rsidRPr="002A745A" w:rsidTr="00861DD7">
        <w:tc>
          <w:tcPr>
            <w:tcW w:w="1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86</w:t>
            </w:r>
          </w:p>
        </w:tc>
      </w:tr>
      <w:tr w:rsidR="00FB7B27" w:rsidRPr="002A745A" w:rsidTr="00861DD7">
        <w:tc>
          <w:tcPr>
            <w:tcW w:w="1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209</w:t>
            </w:r>
          </w:p>
        </w:tc>
      </w:tr>
      <w:tr w:rsidR="00FB7B27" w:rsidRPr="002A745A" w:rsidTr="00861DD7">
        <w:tc>
          <w:tcPr>
            <w:tcW w:w="1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76</w:t>
            </w:r>
          </w:p>
        </w:tc>
      </w:tr>
      <w:tr w:rsidR="00FB7B27" w:rsidRPr="002A745A" w:rsidTr="00861DD7">
        <w:trPr>
          <w:trHeight w:val="92"/>
        </w:trPr>
        <w:tc>
          <w:tcPr>
            <w:tcW w:w="1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80</w:t>
            </w:r>
          </w:p>
        </w:tc>
      </w:tr>
      <w:tr w:rsidR="00FB7B27" w:rsidRPr="002A745A" w:rsidTr="00861DD7">
        <w:tc>
          <w:tcPr>
            <w:tcW w:w="1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98</w:t>
            </w:r>
          </w:p>
        </w:tc>
      </w:tr>
      <w:tr w:rsidR="00FB7B27" w:rsidRPr="002A745A" w:rsidTr="00861DD7">
        <w:trPr>
          <w:trHeight w:val="43"/>
        </w:trPr>
        <w:tc>
          <w:tcPr>
            <w:tcW w:w="1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89</w:t>
            </w:r>
          </w:p>
        </w:tc>
      </w:tr>
      <w:tr w:rsidR="00FB7B27" w:rsidRPr="002A745A" w:rsidTr="00861DD7">
        <w:trPr>
          <w:trHeight w:val="51"/>
        </w:trPr>
        <w:tc>
          <w:tcPr>
            <w:tcW w:w="1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FB7B27" w:rsidRPr="002A745A" w:rsidTr="00861DD7">
        <w:trPr>
          <w:trHeight w:val="59"/>
        </w:trPr>
        <w:tc>
          <w:tcPr>
            <w:tcW w:w="1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27" w:rsidRPr="002A745A" w:rsidRDefault="00FB7B27" w:rsidP="00861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A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98</w:t>
            </w:r>
          </w:p>
        </w:tc>
      </w:tr>
    </w:tbl>
    <w:p w:rsidR="00FB7B27" w:rsidRPr="00FF358B" w:rsidRDefault="00FB7B27" w:rsidP="00FF35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58B">
        <w:rPr>
          <w:rFonts w:ascii="Times New Roman" w:hAnsi="Times New Roman" w:cs="Times New Roman"/>
          <w:i/>
          <w:sz w:val="24"/>
          <w:szCs w:val="24"/>
        </w:rPr>
        <w:t>* расчет на основе данных ФАО</w:t>
      </w:r>
    </w:p>
    <w:p w:rsidR="00FB7B27" w:rsidRPr="00FF358B" w:rsidRDefault="00FB7B27" w:rsidP="00FF35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58B">
        <w:rPr>
          <w:rFonts w:ascii="Times New Roman" w:hAnsi="Times New Roman" w:cs="Times New Roman"/>
          <w:i/>
          <w:sz w:val="24"/>
          <w:szCs w:val="24"/>
        </w:rPr>
        <w:t>** расчет на основе данных Академии сельскохозяйственных наук РК</w:t>
      </w:r>
    </w:p>
    <w:p w:rsidR="00FB7B27" w:rsidRPr="00FF358B" w:rsidRDefault="00FB7B27" w:rsidP="00FF35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58B">
        <w:rPr>
          <w:rFonts w:ascii="Times New Roman" w:hAnsi="Times New Roman" w:cs="Times New Roman"/>
          <w:i/>
          <w:sz w:val="24"/>
          <w:szCs w:val="24"/>
        </w:rPr>
        <w:t xml:space="preserve">*** расчет на основе данных Росстата по уровню самообеспечения </w:t>
      </w:r>
    </w:p>
    <w:p w:rsidR="00194BB5" w:rsidRDefault="00194BB5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56A" w:rsidRDefault="004E656A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6A">
        <w:rPr>
          <w:rFonts w:ascii="Times New Roman" w:hAnsi="Times New Roman" w:cs="Times New Roman"/>
          <w:sz w:val="28"/>
          <w:szCs w:val="28"/>
        </w:rPr>
        <w:t xml:space="preserve">К огромному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656A">
        <w:rPr>
          <w:rFonts w:ascii="Times New Roman" w:hAnsi="Times New Roman" w:cs="Times New Roman"/>
          <w:sz w:val="28"/>
          <w:szCs w:val="28"/>
        </w:rPr>
        <w:t>ожалению</w:t>
      </w:r>
      <w:r>
        <w:rPr>
          <w:rFonts w:ascii="Times New Roman" w:hAnsi="Times New Roman" w:cs="Times New Roman"/>
          <w:sz w:val="28"/>
          <w:szCs w:val="28"/>
        </w:rPr>
        <w:t>, приведенные данные рассчитаны по различным базам данных. Это говорит о том, что одной из первоочередных задач</w:t>
      </w:r>
      <w:r w:rsidR="007F2EFE">
        <w:rPr>
          <w:rFonts w:ascii="Times New Roman" w:hAnsi="Times New Roman" w:cs="Times New Roman"/>
          <w:sz w:val="28"/>
          <w:szCs w:val="28"/>
        </w:rPr>
        <w:t>, которую Евразийская экономическая комиссия должна поставить перед</w:t>
      </w:r>
      <w:r>
        <w:rPr>
          <w:rFonts w:ascii="Times New Roman" w:hAnsi="Times New Roman" w:cs="Times New Roman"/>
          <w:sz w:val="28"/>
          <w:szCs w:val="28"/>
        </w:rPr>
        <w:t xml:space="preserve"> экономист</w:t>
      </w:r>
      <w:r w:rsidR="007F2EFE">
        <w:rPr>
          <w:rFonts w:ascii="Times New Roman" w:hAnsi="Times New Roman" w:cs="Times New Roman"/>
          <w:sz w:val="28"/>
          <w:szCs w:val="28"/>
        </w:rPr>
        <w:t>ами-аграрниками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разработка единой методологии оценки продовольственн</w:t>
      </w:r>
      <w:r w:rsidR="007F2EFE">
        <w:rPr>
          <w:rFonts w:ascii="Times New Roman" w:hAnsi="Times New Roman" w:cs="Times New Roman"/>
          <w:sz w:val="28"/>
          <w:szCs w:val="28"/>
        </w:rPr>
        <w:t>ой безопасности и независимости, обеспечив их соответствующей информацией.</w:t>
      </w:r>
    </w:p>
    <w:p w:rsidR="00751D76" w:rsidRDefault="006D19C5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проблемы существуют</w:t>
      </w:r>
      <w:r w:rsidR="00751D7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Казахстан, где достаточно высокий уровень самообеспечения </w:t>
      </w:r>
      <w:r w:rsidR="00751D76">
        <w:rPr>
          <w:rFonts w:ascii="Times New Roman" w:hAnsi="Times New Roman" w:cs="Times New Roman"/>
          <w:sz w:val="28"/>
          <w:szCs w:val="28"/>
        </w:rPr>
        <w:t>зерном, но при этом существует необходимость значительного импорта сахара, плодов, молока.</w:t>
      </w:r>
    </w:p>
    <w:p w:rsidR="006D19C5" w:rsidRDefault="00640431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ин</w:t>
      </w:r>
      <w:r w:rsidR="006D19C5">
        <w:rPr>
          <w:rFonts w:ascii="Times New Roman" w:hAnsi="Times New Roman" w:cs="Times New Roman"/>
          <w:sz w:val="28"/>
          <w:szCs w:val="28"/>
        </w:rPr>
        <w:t>ая ситуация в Российской Федерации, где высокая доля импорта (по статистике – около одной трети) и высокая дифференциация доходов населения, а, следовательно, потребления основных пищевых продуктов на душу населения.</w:t>
      </w:r>
      <w:r w:rsidR="00E0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BB5" w:rsidRDefault="00194BB5" w:rsidP="00194B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B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438400"/>
            <wp:effectExtent l="19050" t="0" r="222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4BB5" w:rsidRPr="00194BB5" w:rsidRDefault="00194BB5" w:rsidP="00194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BB5">
        <w:rPr>
          <w:rFonts w:ascii="Times New Roman" w:hAnsi="Times New Roman" w:cs="Times New Roman"/>
          <w:b/>
          <w:bCs/>
          <w:sz w:val="28"/>
          <w:szCs w:val="28"/>
        </w:rPr>
        <w:t xml:space="preserve">Рис. 3 – Экспорт и импорт продовольственных товаров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94BB5">
        <w:rPr>
          <w:rFonts w:ascii="Times New Roman" w:hAnsi="Times New Roman" w:cs="Times New Roman"/>
          <w:b/>
          <w:bCs/>
          <w:sz w:val="28"/>
          <w:szCs w:val="28"/>
        </w:rPr>
        <w:t xml:space="preserve">и сельскохозяйственного сырья в России, </w:t>
      </w:r>
      <w:proofErr w:type="spellStart"/>
      <w:proofErr w:type="gramStart"/>
      <w:r w:rsidRPr="00194BB5">
        <w:rPr>
          <w:rFonts w:ascii="Times New Roman" w:hAnsi="Times New Roman" w:cs="Times New Roman"/>
          <w:b/>
          <w:bCs/>
          <w:sz w:val="28"/>
          <w:szCs w:val="28"/>
        </w:rPr>
        <w:t>млрд</w:t>
      </w:r>
      <w:proofErr w:type="spellEnd"/>
      <w:proofErr w:type="gramEnd"/>
      <w:r w:rsidRPr="00194BB5">
        <w:rPr>
          <w:rFonts w:ascii="Times New Roman" w:hAnsi="Times New Roman" w:cs="Times New Roman"/>
          <w:b/>
          <w:bCs/>
          <w:sz w:val="28"/>
          <w:szCs w:val="28"/>
        </w:rPr>
        <w:t xml:space="preserve"> долл. США</w:t>
      </w:r>
    </w:p>
    <w:p w:rsidR="00194BB5" w:rsidRDefault="00194BB5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474" w:rsidRDefault="006D19C5" w:rsidP="002223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России одной из перво</w:t>
      </w:r>
      <w:r w:rsidR="00640431">
        <w:rPr>
          <w:rFonts w:ascii="Times New Roman" w:hAnsi="Times New Roman" w:cs="Times New Roman"/>
          <w:sz w:val="28"/>
          <w:szCs w:val="28"/>
        </w:rPr>
        <w:t>степенных</w:t>
      </w:r>
      <w:r>
        <w:rPr>
          <w:rFonts w:ascii="Times New Roman" w:hAnsi="Times New Roman" w:cs="Times New Roman"/>
          <w:sz w:val="28"/>
          <w:szCs w:val="28"/>
        </w:rPr>
        <w:t xml:space="preserve"> проблем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0431">
        <w:rPr>
          <w:rFonts w:ascii="Times New Roman" w:hAnsi="Times New Roman" w:cs="Times New Roman"/>
          <w:sz w:val="28"/>
          <w:szCs w:val="28"/>
        </w:rPr>
        <w:t xml:space="preserve">Сейчас она становится еще более актуальной. </w:t>
      </w:r>
      <w:r>
        <w:rPr>
          <w:rFonts w:ascii="Times New Roman" w:hAnsi="Times New Roman" w:cs="Times New Roman"/>
          <w:sz w:val="28"/>
          <w:szCs w:val="28"/>
        </w:rPr>
        <w:t xml:space="preserve">Это в свою очередь вызовет не только снижение импорта из третьих стран, но и </w:t>
      </w:r>
      <w:r w:rsidR="00E016B6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640431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ограничи</w:t>
      </w:r>
      <w:r w:rsidR="0064043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E016B6">
        <w:rPr>
          <w:rFonts w:ascii="Times New Roman" w:hAnsi="Times New Roman" w:cs="Times New Roman"/>
          <w:sz w:val="28"/>
          <w:szCs w:val="28"/>
        </w:rPr>
        <w:t xml:space="preserve">объем поставок в Россию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и продовольствия </w:t>
      </w:r>
      <w:r w:rsidR="00E016B6">
        <w:rPr>
          <w:rFonts w:ascii="Times New Roman" w:hAnsi="Times New Roman" w:cs="Times New Roman"/>
          <w:sz w:val="28"/>
          <w:szCs w:val="28"/>
        </w:rPr>
        <w:t>в рамках взаимной торговли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C5" w:rsidRDefault="006D19C5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640431">
        <w:rPr>
          <w:rFonts w:ascii="Times New Roman" w:hAnsi="Times New Roman" w:cs="Times New Roman"/>
          <w:sz w:val="28"/>
          <w:szCs w:val="28"/>
        </w:rPr>
        <w:t xml:space="preserve"> обстоятельство </w:t>
      </w:r>
      <w:r>
        <w:rPr>
          <w:rFonts w:ascii="Times New Roman" w:hAnsi="Times New Roman" w:cs="Times New Roman"/>
          <w:sz w:val="28"/>
          <w:szCs w:val="28"/>
        </w:rPr>
        <w:t>необходимо уч</w:t>
      </w:r>
      <w:r w:rsidR="00640431">
        <w:rPr>
          <w:rFonts w:ascii="Times New Roman" w:hAnsi="Times New Roman" w:cs="Times New Roman"/>
          <w:sz w:val="28"/>
          <w:szCs w:val="28"/>
        </w:rPr>
        <w:t xml:space="preserve">итывать </w:t>
      </w:r>
      <w:r>
        <w:rPr>
          <w:rFonts w:ascii="Times New Roman" w:hAnsi="Times New Roman" w:cs="Times New Roman"/>
          <w:sz w:val="28"/>
          <w:szCs w:val="28"/>
        </w:rPr>
        <w:t>при рассмотрении вопросов осуществления взаимной торговли между нашими странами</w:t>
      </w:r>
      <w:r w:rsidR="00751D76">
        <w:rPr>
          <w:rFonts w:ascii="Times New Roman" w:hAnsi="Times New Roman" w:cs="Times New Roman"/>
          <w:sz w:val="28"/>
          <w:szCs w:val="28"/>
        </w:rPr>
        <w:t xml:space="preserve"> и</w:t>
      </w:r>
      <w:r w:rsidR="00640431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751D76">
        <w:rPr>
          <w:rFonts w:ascii="Times New Roman" w:hAnsi="Times New Roman" w:cs="Times New Roman"/>
          <w:sz w:val="28"/>
          <w:szCs w:val="28"/>
        </w:rPr>
        <w:t>и</w:t>
      </w:r>
      <w:r w:rsidR="00640431">
        <w:rPr>
          <w:rFonts w:ascii="Times New Roman" w:hAnsi="Times New Roman" w:cs="Times New Roman"/>
          <w:sz w:val="28"/>
          <w:szCs w:val="28"/>
        </w:rPr>
        <w:t xml:space="preserve"> совместных прогнозных продовольственных балансов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9C5" w:rsidRDefault="00751D76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следует учитывать</w:t>
      </w:r>
      <w:r w:rsidR="006D19C5">
        <w:rPr>
          <w:rFonts w:ascii="Times New Roman" w:hAnsi="Times New Roman" w:cs="Times New Roman"/>
          <w:sz w:val="28"/>
          <w:szCs w:val="28"/>
        </w:rPr>
        <w:t>, что при свободном передвижении продукции, повышении открытости наших продовольственных рынков на мировом пространстве</w:t>
      </w:r>
      <w:r w:rsidR="008D48B0">
        <w:rPr>
          <w:rFonts w:ascii="Times New Roman" w:hAnsi="Times New Roman" w:cs="Times New Roman"/>
          <w:sz w:val="28"/>
          <w:szCs w:val="28"/>
        </w:rPr>
        <w:t>,</w:t>
      </w:r>
      <w:r w:rsidR="006D1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8D48B0">
        <w:rPr>
          <w:rFonts w:ascii="Times New Roman" w:hAnsi="Times New Roman" w:cs="Times New Roman"/>
          <w:sz w:val="28"/>
          <w:szCs w:val="28"/>
        </w:rPr>
        <w:t xml:space="preserve"> </w:t>
      </w:r>
      <w:r w:rsidR="006D19C5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зависеть от</w:t>
      </w:r>
      <w:r w:rsidR="006D19C5">
        <w:rPr>
          <w:rFonts w:ascii="Times New Roman" w:hAnsi="Times New Roman" w:cs="Times New Roman"/>
          <w:sz w:val="28"/>
          <w:szCs w:val="28"/>
        </w:rPr>
        <w:t xml:space="preserve"> </w:t>
      </w:r>
      <w:r w:rsidR="00640431">
        <w:rPr>
          <w:rFonts w:ascii="Times New Roman" w:hAnsi="Times New Roman" w:cs="Times New Roman"/>
          <w:sz w:val="28"/>
          <w:szCs w:val="28"/>
        </w:rPr>
        <w:t>соотношения</w:t>
      </w:r>
      <w:r w:rsidR="006D19C5">
        <w:rPr>
          <w:rFonts w:ascii="Times New Roman" w:hAnsi="Times New Roman" w:cs="Times New Roman"/>
          <w:sz w:val="28"/>
          <w:szCs w:val="28"/>
        </w:rPr>
        <w:t xml:space="preserve"> «цена – качество» продукции</w:t>
      </w:r>
      <w:r w:rsidR="008D48B0">
        <w:rPr>
          <w:rFonts w:ascii="Times New Roman" w:hAnsi="Times New Roman" w:cs="Times New Roman"/>
          <w:sz w:val="28"/>
          <w:szCs w:val="28"/>
        </w:rPr>
        <w:t>.</w:t>
      </w:r>
      <w:r w:rsidR="006D1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8B0">
        <w:rPr>
          <w:rFonts w:ascii="Times New Roman" w:hAnsi="Times New Roman" w:cs="Times New Roman"/>
          <w:sz w:val="28"/>
          <w:szCs w:val="28"/>
        </w:rPr>
        <w:t>П</w:t>
      </w:r>
      <w:r w:rsidR="006D19C5">
        <w:rPr>
          <w:rFonts w:ascii="Times New Roman" w:hAnsi="Times New Roman" w:cs="Times New Roman"/>
          <w:sz w:val="28"/>
          <w:szCs w:val="28"/>
        </w:rPr>
        <w:t xml:space="preserve">оэтому, особенно в условиях </w:t>
      </w:r>
      <w:r w:rsidR="001B5BC4">
        <w:rPr>
          <w:rFonts w:ascii="Times New Roman" w:hAnsi="Times New Roman" w:cs="Times New Roman"/>
          <w:sz w:val="28"/>
          <w:szCs w:val="28"/>
        </w:rPr>
        <w:t xml:space="preserve">функционирования и </w:t>
      </w:r>
      <w:r w:rsidR="006D19C5">
        <w:rPr>
          <w:rFonts w:ascii="Times New Roman" w:hAnsi="Times New Roman" w:cs="Times New Roman"/>
          <w:sz w:val="28"/>
          <w:szCs w:val="28"/>
        </w:rPr>
        <w:t xml:space="preserve">присоединения к ВТО, частные </w:t>
      </w:r>
      <w:r w:rsidR="000B7EBD">
        <w:rPr>
          <w:rFonts w:ascii="Times New Roman" w:hAnsi="Times New Roman" w:cs="Times New Roman"/>
          <w:sz w:val="28"/>
          <w:szCs w:val="28"/>
        </w:rPr>
        <w:t xml:space="preserve">торговые </w:t>
      </w:r>
      <w:r w:rsidR="006D19C5">
        <w:rPr>
          <w:rFonts w:ascii="Times New Roman" w:hAnsi="Times New Roman" w:cs="Times New Roman"/>
          <w:sz w:val="28"/>
          <w:szCs w:val="28"/>
        </w:rPr>
        <w:t>компании, а именно они преобладают на российском рынке, будут выбирать продукцию не столько по их принадлежности к стран</w:t>
      </w:r>
      <w:r w:rsidR="001B5BC4">
        <w:rPr>
          <w:rFonts w:ascii="Times New Roman" w:hAnsi="Times New Roman" w:cs="Times New Roman"/>
          <w:sz w:val="28"/>
          <w:szCs w:val="28"/>
        </w:rPr>
        <w:t>ам</w:t>
      </w:r>
      <w:r w:rsidR="006D19C5">
        <w:rPr>
          <w:rFonts w:ascii="Times New Roman" w:hAnsi="Times New Roman" w:cs="Times New Roman"/>
          <w:sz w:val="28"/>
          <w:szCs w:val="28"/>
        </w:rPr>
        <w:t xml:space="preserve"> производства (в рамках Е</w:t>
      </w:r>
      <w:r w:rsidR="001B5BC4">
        <w:rPr>
          <w:rFonts w:ascii="Times New Roman" w:hAnsi="Times New Roman" w:cs="Times New Roman"/>
          <w:sz w:val="28"/>
          <w:szCs w:val="28"/>
        </w:rPr>
        <w:t>А</w:t>
      </w:r>
      <w:r w:rsidR="006D19C5">
        <w:rPr>
          <w:rFonts w:ascii="Times New Roman" w:hAnsi="Times New Roman" w:cs="Times New Roman"/>
          <w:sz w:val="28"/>
          <w:szCs w:val="28"/>
        </w:rPr>
        <w:t>ЭС и</w:t>
      </w:r>
      <w:r w:rsidR="001B5BC4">
        <w:rPr>
          <w:rFonts w:ascii="Times New Roman" w:hAnsi="Times New Roman" w:cs="Times New Roman"/>
          <w:sz w:val="28"/>
          <w:szCs w:val="28"/>
        </w:rPr>
        <w:t>ли</w:t>
      </w:r>
      <w:r w:rsidR="006D19C5">
        <w:rPr>
          <w:rFonts w:ascii="Times New Roman" w:hAnsi="Times New Roman" w:cs="Times New Roman"/>
          <w:sz w:val="28"/>
          <w:szCs w:val="28"/>
        </w:rPr>
        <w:t xml:space="preserve"> вне его), а </w:t>
      </w:r>
      <w:r w:rsidR="001B5BC4">
        <w:rPr>
          <w:rFonts w:ascii="Times New Roman" w:hAnsi="Times New Roman" w:cs="Times New Roman"/>
          <w:sz w:val="28"/>
          <w:szCs w:val="28"/>
        </w:rPr>
        <w:t xml:space="preserve">по </w:t>
      </w:r>
      <w:r w:rsidR="006D19C5">
        <w:rPr>
          <w:rFonts w:ascii="Times New Roman" w:hAnsi="Times New Roman" w:cs="Times New Roman"/>
          <w:sz w:val="28"/>
          <w:szCs w:val="28"/>
        </w:rPr>
        <w:t>показателю</w:t>
      </w:r>
      <w:r w:rsidR="008D48B0">
        <w:rPr>
          <w:rFonts w:ascii="Times New Roman" w:hAnsi="Times New Roman" w:cs="Times New Roman"/>
          <w:sz w:val="28"/>
          <w:szCs w:val="28"/>
        </w:rPr>
        <w:t xml:space="preserve"> «цена – качество»</w:t>
      </w:r>
      <w:r w:rsidR="001B5BC4">
        <w:rPr>
          <w:rFonts w:ascii="Times New Roman" w:hAnsi="Times New Roman" w:cs="Times New Roman"/>
          <w:sz w:val="28"/>
          <w:szCs w:val="28"/>
        </w:rPr>
        <w:t>,</w:t>
      </w:r>
      <w:r w:rsidR="006D19C5">
        <w:rPr>
          <w:rFonts w:ascii="Times New Roman" w:hAnsi="Times New Roman" w:cs="Times New Roman"/>
          <w:sz w:val="28"/>
          <w:szCs w:val="28"/>
        </w:rPr>
        <w:t xml:space="preserve"> </w:t>
      </w:r>
      <w:r w:rsidR="001B5BC4">
        <w:rPr>
          <w:rFonts w:ascii="Times New Roman" w:hAnsi="Times New Roman" w:cs="Times New Roman"/>
          <w:sz w:val="28"/>
          <w:szCs w:val="28"/>
        </w:rPr>
        <w:t>ч</w:t>
      </w:r>
      <w:r w:rsidR="006D19C5">
        <w:rPr>
          <w:rFonts w:ascii="Times New Roman" w:hAnsi="Times New Roman" w:cs="Times New Roman"/>
          <w:sz w:val="28"/>
          <w:szCs w:val="28"/>
        </w:rPr>
        <w:t>то в свою очередь может «нарушить» наши балансы, составляемые на государственном уровне</w:t>
      </w:r>
      <w:r w:rsidR="00054D3C">
        <w:rPr>
          <w:rFonts w:ascii="Times New Roman" w:hAnsi="Times New Roman" w:cs="Times New Roman"/>
          <w:sz w:val="28"/>
          <w:szCs w:val="28"/>
        </w:rPr>
        <w:t>,</w:t>
      </w:r>
      <w:r w:rsidR="001B5BC4">
        <w:rPr>
          <w:rFonts w:ascii="Times New Roman" w:hAnsi="Times New Roman" w:cs="Times New Roman"/>
          <w:sz w:val="28"/>
          <w:szCs w:val="28"/>
        </w:rPr>
        <w:t xml:space="preserve"> и</w:t>
      </w:r>
      <w:r w:rsidR="006D19C5">
        <w:rPr>
          <w:rFonts w:ascii="Times New Roman" w:hAnsi="Times New Roman" w:cs="Times New Roman"/>
          <w:sz w:val="28"/>
          <w:szCs w:val="28"/>
        </w:rPr>
        <w:t xml:space="preserve"> провоцировать конфликтные ситуации</w:t>
      </w:r>
      <w:r w:rsidR="001B5B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19C5" w:rsidRDefault="000B7EBD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целесообразно</w:t>
      </w:r>
      <w:r w:rsidR="001B5BC4">
        <w:rPr>
          <w:rFonts w:ascii="Times New Roman" w:hAnsi="Times New Roman" w:cs="Times New Roman"/>
          <w:sz w:val="28"/>
          <w:szCs w:val="28"/>
        </w:rPr>
        <w:t xml:space="preserve"> </w:t>
      </w:r>
      <w:r w:rsidR="006D19C5">
        <w:rPr>
          <w:rFonts w:ascii="Times New Roman" w:hAnsi="Times New Roman" w:cs="Times New Roman"/>
          <w:sz w:val="28"/>
          <w:szCs w:val="28"/>
        </w:rPr>
        <w:t xml:space="preserve">предусмотреть механизмы и экономические инструменты, обеспечивающие сбалансированность внутреннего рынка и формирования скоординированных экспортных потоков, с тем, чтобы не создать трудности у сельскохозяйственных товаропроизводителей, увеличивающих </w:t>
      </w:r>
      <w:r>
        <w:rPr>
          <w:rFonts w:ascii="Times New Roman" w:hAnsi="Times New Roman" w:cs="Times New Roman"/>
          <w:sz w:val="28"/>
          <w:szCs w:val="28"/>
        </w:rPr>
        <w:t xml:space="preserve">объемы продукции </w:t>
      </w:r>
      <w:r w:rsidR="006D19C5">
        <w:rPr>
          <w:rFonts w:ascii="Times New Roman" w:hAnsi="Times New Roman" w:cs="Times New Roman"/>
          <w:sz w:val="28"/>
          <w:szCs w:val="28"/>
        </w:rPr>
        <w:t>благодаря расширению производства и освоению научно-технических достижений.</w:t>
      </w:r>
    </w:p>
    <w:p w:rsidR="006D19C5" w:rsidRDefault="006D19C5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надо иметь в виду, что в мире, особенно в Южной Америке, также в последние годы просматривается тенденция ускоренного наращивания производства сельскохозяйственной продукции</w:t>
      </w:r>
      <w:r w:rsidR="001B5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примером этого может служить Бразилия</w:t>
      </w:r>
      <w:r w:rsidR="00751D76">
        <w:rPr>
          <w:rFonts w:ascii="Times New Roman" w:hAnsi="Times New Roman" w:cs="Times New Roman"/>
          <w:sz w:val="28"/>
          <w:szCs w:val="28"/>
        </w:rPr>
        <w:t>, Аргентина</w:t>
      </w:r>
      <w:r w:rsidR="001B5BC4">
        <w:rPr>
          <w:rFonts w:ascii="Times New Roman" w:hAnsi="Times New Roman" w:cs="Times New Roman"/>
          <w:sz w:val="28"/>
          <w:szCs w:val="28"/>
        </w:rPr>
        <w:t>.</w:t>
      </w:r>
    </w:p>
    <w:p w:rsidR="006D19C5" w:rsidRDefault="006D19C5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надо иметь в виду, что</w:t>
      </w:r>
      <w:r w:rsidR="001B5BC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1B5BC4">
        <w:rPr>
          <w:rFonts w:ascii="Times New Roman" w:hAnsi="Times New Roman" w:cs="Times New Roman"/>
          <w:sz w:val="28"/>
          <w:szCs w:val="28"/>
        </w:rPr>
        <w:t>я</w:t>
      </w:r>
      <w:r w:rsidR="001B5BC4" w:rsidRPr="001B5BC4">
        <w:rPr>
          <w:rFonts w:ascii="Times New Roman" w:hAnsi="Times New Roman" w:cs="Times New Roman"/>
          <w:sz w:val="28"/>
          <w:szCs w:val="28"/>
        </w:rPr>
        <w:t xml:space="preserve"> </w:t>
      </w:r>
      <w:r w:rsidR="001B5BC4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питанием </w:t>
      </w:r>
      <w:r w:rsidR="001B5BC4">
        <w:rPr>
          <w:rFonts w:ascii="Times New Roman" w:hAnsi="Times New Roman" w:cs="Times New Roman"/>
          <w:sz w:val="28"/>
          <w:szCs w:val="28"/>
        </w:rPr>
        <w:t xml:space="preserve">по рациональным нормам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будет повышать объемы производства </w:t>
      </w:r>
      <w:r w:rsidR="00751D76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1D7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751D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1D7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гарантированного продовольственного обеспечения страны</w:t>
      </w:r>
      <w:r w:rsidR="00751D76">
        <w:rPr>
          <w:rFonts w:ascii="Times New Roman" w:hAnsi="Times New Roman" w:cs="Times New Roman"/>
          <w:sz w:val="28"/>
          <w:szCs w:val="28"/>
        </w:rPr>
        <w:t xml:space="preserve"> необходимо иметь определенный запас прочности</w:t>
      </w:r>
      <w:r>
        <w:rPr>
          <w:rFonts w:ascii="Times New Roman" w:hAnsi="Times New Roman" w:cs="Times New Roman"/>
          <w:sz w:val="28"/>
          <w:szCs w:val="28"/>
        </w:rPr>
        <w:t xml:space="preserve"> с учетом погодных </w:t>
      </w:r>
      <w:r w:rsidR="00751D76">
        <w:rPr>
          <w:rFonts w:ascii="Times New Roman" w:hAnsi="Times New Roman" w:cs="Times New Roman"/>
          <w:sz w:val="28"/>
          <w:szCs w:val="28"/>
        </w:rPr>
        <w:t>и экономических колебаний</w:t>
      </w:r>
      <w:r>
        <w:rPr>
          <w:rFonts w:ascii="Times New Roman" w:hAnsi="Times New Roman" w:cs="Times New Roman"/>
          <w:sz w:val="28"/>
          <w:szCs w:val="28"/>
        </w:rPr>
        <w:t xml:space="preserve">. Так поступают развитые страны, ориентированные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самообеспечение и экспорт.</w:t>
      </w:r>
      <w:r w:rsidR="007B0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C5" w:rsidRDefault="001B5BC4" w:rsidP="006D19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19C5">
        <w:rPr>
          <w:rFonts w:ascii="Times New Roman" w:hAnsi="Times New Roman" w:cs="Times New Roman"/>
          <w:sz w:val="28"/>
          <w:szCs w:val="28"/>
        </w:rPr>
        <w:t xml:space="preserve">разным </w:t>
      </w:r>
      <w:r>
        <w:rPr>
          <w:rFonts w:ascii="Times New Roman" w:hAnsi="Times New Roman" w:cs="Times New Roman"/>
          <w:sz w:val="28"/>
          <w:szCs w:val="28"/>
        </w:rPr>
        <w:t xml:space="preserve">прогнозным </w:t>
      </w:r>
      <w:r w:rsidR="006D19C5">
        <w:rPr>
          <w:rFonts w:ascii="Times New Roman" w:hAnsi="Times New Roman" w:cs="Times New Roman"/>
          <w:sz w:val="28"/>
          <w:szCs w:val="28"/>
        </w:rPr>
        <w:t>вариантам, зависящим в основном от экономической политики государства в отношении аграрного сектора, Россия может стать не только одной из наиболее крупных экспортеров зерна в мире (</w:t>
      </w:r>
      <w:r w:rsidR="00AA0A62">
        <w:rPr>
          <w:rFonts w:ascii="Times New Roman" w:hAnsi="Times New Roman" w:cs="Times New Roman"/>
          <w:sz w:val="28"/>
          <w:szCs w:val="28"/>
        </w:rPr>
        <w:t>к 2020 г. в объеме до 3</w:t>
      </w:r>
      <w:r w:rsidR="006D19C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proofErr w:type="gramStart"/>
      <w:r w:rsidR="006D19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6D19C5">
        <w:rPr>
          <w:rFonts w:ascii="Times New Roman" w:hAnsi="Times New Roman" w:cs="Times New Roman"/>
          <w:sz w:val="28"/>
          <w:szCs w:val="28"/>
        </w:rPr>
        <w:t xml:space="preserve"> т), но и другой сельскохозяйственной продукции и продовольствия (сахара, растительного масла, продукции птицеводства и свиноводства)</w:t>
      </w:r>
      <w:r w:rsidR="00194BB5">
        <w:rPr>
          <w:rFonts w:ascii="Times New Roman" w:hAnsi="Times New Roman" w:cs="Times New Roman"/>
          <w:sz w:val="28"/>
          <w:szCs w:val="28"/>
        </w:rPr>
        <w:t xml:space="preserve"> (табл. 3)</w:t>
      </w:r>
      <w:r w:rsidR="006D19C5">
        <w:rPr>
          <w:rFonts w:ascii="Times New Roman" w:hAnsi="Times New Roman" w:cs="Times New Roman"/>
          <w:sz w:val="28"/>
          <w:szCs w:val="28"/>
        </w:rPr>
        <w:t>.</w:t>
      </w:r>
      <w:r w:rsidR="006C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BB5" w:rsidRDefault="00194BB5" w:rsidP="00194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эти объемы не будут «лишними», особенно учитывая, что численность недоедающего населения практически не сокращается.</w:t>
      </w:r>
    </w:p>
    <w:p w:rsidR="00194BB5" w:rsidRDefault="00194BB5" w:rsidP="00194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5C">
        <w:rPr>
          <w:rFonts w:ascii="Times New Roman" w:hAnsi="Times New Roman" w:cs="Times New Roman"/>
          <w:sz w:val="28"/>
          <w:szCs w:val="28"/>
        </w:rPr>
        <w:t xml:space="preserve">В то же время, формируя интеграционные отношения, необходимо иметь в виду, что это очень </w:t>
      </w:r>
      <w:proofErr w:type="spellStart"/>
      <w:r w:rsidRPr="0046205C">
        <w:rPr>
          <w:rFonts w:ascii="Times New Roman" w:hAnsi="Times New Roman" w:cs="Times New Roman"/>
          <w:sz w:val="28"/>
          <w:szCs w:val="28"/>
        </w:rPr>
        <w:t>высокозатратный</w:t>
      </w:r>
      <w:proofErr w:type="spellEnd"/>
      <w:r w:rsidRPr="0046205C">
        <w:rPr>
          <w:rFonts w:ascii="Times New Roman" w:hAnsi="Times New Roman" w:cs="Times New Roman"/>
          <w:sz w:val="28"/>
          <w:szCs w:val="28"/>
        </w:rPr>
        <w:t xml:space="preserve"> процесс, который может окупиться, если он стабилен на продолжении длительного периода и не подвергается каким-либо краткосрочным конъюнктурным изменениям.</w:t>
      </w:r>
    </w:p>
    <w:p w:rsidR="00194BB5" w:rsidRPr="0046205C" w:rsidRDefault="00194BB5" w:rsidP="00194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BB5" w:rsidRDefault="00194BB5" w:rsidP="00194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Табл. 3 – </w:t>
      </w:r>
      <w:r w:rsidRPr="009833EC">
        <w:rPr>
          <w:rFonts w:ascii="Times New Roman" w:hAnsi="Times New Roman" w:cs="Times New Roman"/>
          <w:b/>
          <w:bCs/>
          <w:sz w:val="28"/>
          <w:szCs w:val="28"/>
        </w:rPr>
        <w:t xml:space="preserve">Прогноз уровня продовольственной независимости </w:t>
      </w:r>
    </w:p>
    <w:p w:rsidR="00194BB5" w:rsidRDefault="00194BB5" w:rsidP="0019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3EC">
        <w:rPr>
          <w:rFonts w:ascii="Times New Roman" w:hAnsi="Times New Roman" w:cs="Times New Roman"/>
          <w:b/>
          <w:bCs/>
          <w:sz w:val="28"/>
          <w:szCs w:val="28"/>
        </w:rPr>
        <w:t>и экспортного потенциала России на 2020 г.</w:t>
      </w:r>
    </w:p>
    <w:tbl>
      <w:tblPr>
        <w:tblW w:w="4923" w:type="pct"/>
        <w:tblInd w:w="144" w:type="dxa"/>
        <w:tblCellMar>
          <w:left w:w="0" w:type="dxa"/>
          <w:right w:w="0" w:type="dxa"/>
        </w:tblCellMar>
        <w:tblLook w:val="04A0"/>
      </w:tblPr>
      <w:tblGrid>
        <w:gridCol w:w="3707"/>
        <w:gridCol w:w="2895"/>
        <w:gridCol w:w="2892"/>
      </w:tblGrid>
      <w:tr w:rsidR="00194BB5" w:rsidRPr="009833EC" w:rsidTr="0022252C">
        <w:trPr>
          <w:trHeight w:val="912"/>
        </w:trPr>
        <w:tc>
          <w:tcPr>
            <w:tcW w:w="195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B8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BB5" w:rsidRPr="009833EC" w:rsidRDefault="00194BB5" w:rsidP="00222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B8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Уровень продовольственной независимости, %</w:t>
            </w:r>
          </w:p>
        </w:tc>
        <w:tc>
          <w:tcPr>
            <w:tcW w:w="152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B80A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Экспортный потенциал</w:t>
            </w:r>
            <w:proofErr w:type="gramStart"/>
            <w:r w:rsidRPr="009833EC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(+)/ </w:t>
            </w:r>
            <w:proofErr w:type="gramEnd"/>
            <w:r w:rsidRPr="009833EC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потребность (-), </w:t>
            </w:r>
          </w:p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33EC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9833EC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т</w:t>
            </w:r>
          </w:p>
        </w:tc>
      </w:tr>
      <w:tr w:rsidR="00194BB5" w:rsidRPr="009833EC" w:rsidTr="0022252C">
        <w:trPr>
          <w:trHeight w:val="125"/>
        </w:trPr>
        <w:tc>
          <w:tcPr>
            <w:tcW w:w="195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BB5" w:rsidRPr="009833EC" w:rsidRDefault="00194BB5" w:rsidP="00222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 xml:space="preserve">Зерно </w:t>
            </w:r>
          </w:p>
        </w:tc>
        <w:tc>
          <w:tcPr>
            <w:tcW w:w="152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2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</w:tr>
      <w:tr w:rsidR="00194BB5" w:rsidRPr="009833EC" w:rsidTr="0022252C">
        <w:tc>
          <w:tcPr>
            <w:tcW w:w="19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BB5" w:rsidRPr="009833EC" w:rsidRDefault="00194BB5" w:rsidP="00222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194BB5" w:rsidRPr="009833EC" w:rsidTr="0022252C">
        <w:tc>
          <w:tcPr>
            <w:tcW w:w="19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BB5" w:rsidRPr="009833EC" w:rsidRDefault="00194BB5" w:rsidP="00222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15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194BB5" w:rsidRPr="009833EC" w:rsidTr="0022252C">
        <w:tc>
          <w:tcPr>
            <w:tcW w:w="19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BB5" w:rsidRPr="009833EC" w:rsidRDefault="00194BB5" w:rsidP="00222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194BB5" w:rsidRPr="009833EC" w:rsidTr="0022252C">
        <w:trPr>
          <w:trHeight w:val="92"/>
        </w:trPr>
        <w:tc>
          <w:tcPr>
            <w:tcW w:w="19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BB5" w:rsidRPr="009833EC" w:rsidRDefault="00194BB5" w:rsidP="00222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5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-2</w:t>
            </w:r>
          </w:p>
        </w:tc>
      </w:tr>
      <w:tr w:rsidR="00194BB5" w:rsidRPr="009833EC" w:rsidTr="0022252C">
        <w:tc>
          <w:tcPr>
            <w:tcW w:w="19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BB5" w:rsidRPr="009833EC" w:rsidRDefault="00194BB5" w:rsidP="00222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5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-6</w:t>
            </w:r>
          </w:p>
        </w:tc>
      </w:tr>
      <w:tr w:rsidR="00194BB5" w:rsidRPr="009833EC" w:rsidTr="0022252C">
        <w:trPr>
          <w:trHeight w:val="43"/>
        </w:trPr>
        <w:tc>
          <w:tcPr>
            <w:tcW w:w="19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BB5" w:rsidRPr="009833EC" w:rsidRDefault="00194BB5" w:rsidP="00222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 xml:space="preserve">Мясо и мясопродукты </w:t>
            </w:r>
          </w:p>
        </w:tc>
        <w:tc>
          <w:tcPr>
            <w:tcW w:w="15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0,6</w:t>
            </w:r>
          </w:p>
        </w:tc>
      </w:tr>
      <w:tr w:rsidR="00194BB5" w:rsidRPr="009833EC" w:rsidTr="0022252C">
        <w:trPr>
          <w:trHeight w:val="51"/>
        </w:trPr>
        <w:tc>
          <w:tcPr>
            <w:tcW w:w="19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BB5" w:rsidRPr="009833EC" w:rsidRDefault="00194BB5" w:rsidP="00222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 xml:space="preserve">Молоко и молокопродукты </w:t>
            </w:r>
          </w:p>
        </w:tc>
        <w:tc>
          <w:tcPr>
            <w:tcW w:w="15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3E7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-10</w:t>
            </w:r>
          </w:p>
        </w:tc>
      </w:tr>
      <w:tr w:rsidR="00194BB5" w:rsidRPr="009833EC" w:rsidTr="0022252C">
        <w:trPr>
          <w:trHeight w:val="59"/>
        </w:trPr>
        <w:tc>
          <w:tcPr>
            <w:tcW w:w="19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BB5" w:rsidRPr="009833EC" w:rsidRDefault="00194BB5" w:rsidP="00222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5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94BB5" w:rsidRPr="009833EC" w:rsidRDefault="00194BB5" w:rsidP="00222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33EC">
              <w:rPr>
                <w:rFonts w:ascii="Cambria" w:eastAsia="Times New Roman" w:hAnsi="Cambria" w:cs="Arial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194BB5" w:rsidRDefault="00194BB5" w:rsidP="00194BB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E35" w:rsidRDefault="00AA3D83" w:rsidP="00590E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важнейших механизмов формирования интеграционных отношений является 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сводных согласованных прогнозных балансов по основным чувствительным видам продовольствия. Как показала практика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дело 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далеко 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>не простое, поскольку затрагивает национальные интересы</w:t>
      </w:r>
      <w:r w:rsidR="00590E35" w:rsidRPr="0059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производителей и потребителей каждой страны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>оэтому не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случайно, что за весь период совместной работы в рамках ЕЭП, пока 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удалось сформировать взаимоувязанные полноценные 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трехсторонние 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>балансы н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одному из продуктов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</w:t>
      </w:r>
      <w:r w:rsidR="00BE386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материалов прогнозного баланса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, в частности,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молоку и молокопродукт</w:t>
      </w:r>
      <w:r w:rsidR="00BE3866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59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866">
        <w:rPr>
          <w:rFonts w:ascii="Times New Roman" w:hAnsi="Times New Roman" w:cs="Times New Roman"/>
          <w:color w:val="000000" w:themeColor="text1"/>
          <w:sz w:val="28"/>
          <w:szCs w:val="28"/>
        </w:rPr>
        <w:t>позволил установить, что при наличии тенденции к увеличению производства у государств, признанных нетто-экспортерами (Бел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3866">
        <w:rPr>
          <w:rFonts w:ascii="Times New Roman" w:hAnsi="Times New Roman" w:cs="Times New Roman"/>
          <w:color w:val="000000" w:themeColor="text1"/>
          <w:sz w:val="28"/>
          <w:szCs w:val="28"/>
        </w:rPr>
        <w:t>рус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E3866">
        <w:rPr>
          <w:rFonts w:ascii="Times New Roman" w:hAnsi="Times New Roman" w:cs="Times New Roman"/>
          <w:color w:val="000000" w:themeColor="text1"/>
          <w:sz w:val="28"/>
          <w:szCs w:val="28"/>
        </w:rPr>
        <w:t>), государства нетто-импортеры не предусматривают увеличение завоза по взаимной торговле, в тоже время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</w:t>
      </w:r>
      <w:r w:rsidR="00BE3866">
        <w:rPr>
          <w:rFonts w:ascii="Times New Roman" w:hAnsi="Times New Roman" w:cs="Times New Roman"/>
          <w:color w:val="000000" w:themeColor="text1"/>
          <w:sz w:val="28"/>
          <w:szCs w:val="28"/>
        </w:rPr>
        <w:t>не сокращая импорт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третьих стран.</w:t>
      </w:r>
    </w:p>
    <w:p w:rsidR="00262BBB" w:rsidRDefault="00BE3866" w:rsidP="00590E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самым мы лишаемся возможности наращивать </w:t>
      </w:r>
      <w:r w:rsidR="000E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 </w:t>
      </w:r>
      <w:r w:rsidR="000E0E49">
        <w:rPr>
          <w:rFonts w:ascii="Times New Roman" w:hAnsi="Times New Roman" w:cs="Times New Roman"/>
          <w:color w:val="000000" w:themeColor="text1"/>
          <w:sz w:val="28"/>
          <w:szCs w:val="28"/>
        </w:rPr>
        <w:t>от взаимной интеграции. Например, Бел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E0E49">
        <w:rPr>
          <w:rFonts w:ascii="Times New Roman" w:hAnsi="Times New Roman" w:cs="Times New Roman"/>
          <w:color w:val="000000" w:themeColor="text1"/>
          <w:sz w:val="28"/>
          <w:szCs w:val="28"/>
        </w:rPr>
        <w:t>рус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E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первый год существования ЕАЭС, т.е. в 2015 году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0E49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прогнозирует увеличить производство молока на 420 тыс</w:t>
      </w:r>
      <w:r w:rsidR="00140D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т, </w:t>
      </w:r>
      <w:r w:rsidR="00D92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262BBB">
        <w:rPr>
          <w:rFonts w:ascii="Times New Roman" w:hAnsi="Times New Roman" w:cs="Times New Roman"/>
          <w:color w:val="000000" w:themeColor="text1"/>
          <w:sz w:val="28"/>
          <w:szCs w:val="28"/>
        </w:rPr>
        <w:t>80% (340 тыс</w:t>
      </w:r>
      <w:r w:rsidR="00140D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2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т) </w:t>
      </w:r>
      <w:r w:rsidR="000E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предполагается 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поставить потребителям внутри ЕАЭС</w:t>
      </w:r>
      <w:r w:rsidR="00262BBB">
        <w:rPr>
          <w:rFonts w:ascii="Times New Roman" w:hAnsi="Times New Roman" w:cs="Times New Roman"/>
          <w:color w:val="000000" w:themeColor="text1"/>
          <w:sz w:val="28"/>
          <w:szCs w:val="28"/>
        </w:rPr>
        <w:t>, что могло бы увеличить уровень коллективной продовольственной независимости по молок</w:t>
      </w:r>
      <w:r w:rsidR="00A34C7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62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почти на 1 %.</w:t>
      </w:r>
    </w:p>
    <w:p w:rsidR="00BE3866" w:rsidRDefault="00262BBB" w:rsidP="00590E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Однако, в </w:t>
      </w:r>
      <w:r w:rsidR="000E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тоже время Россия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Казахстан </w:t>
      </w:r>
      <w:r w:rsidR="000E0E49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прогнозирует в 2015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сократить ввоз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молока из государств Союза примерно на 5 тыс</w:t>
      </w:r>
      <w:r w:rsidR="00140D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 каждый, при этом </w:t>
      </w:r>
      <w:r w:rsidR="000E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сохраняя объем импорта из третьих стран в размере 6 </w:t>
      </w:r>
      <w:proofErr w:type="spellStart"/>
      <w:proofErr w:type="gramStart"/>
      <w:r w:rsidR="000E0E49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="000E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 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Россия и более 160 тыс</w:t>
      </w:r>
      <w:r w:rsidR="001D5F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Казахстан</w:t>
      </w:r>
      <w:r w:rsidR="00C96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2BBB" w:rsidRDefault="00262BBB" w:rsidP="00590E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этим еще раз подчеркивается важность и необходимость разработки научно-обоснованной методологии составления многосторонних балансов и механизмов их реализации.</w:t>
      </w:r>
    </w:p>
    <w:p w:rsidR="00D92B99" w:rsidRDefault="00D92B99" w:rsidP="00590E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введенное в настоящее время Россией эмбарго на поставку продовольствия из западных стран</w:t>
      </w:r>
      <w:r w:rsidR="00D32119">
        <w:rPr>
          <w:rFonts w:ascii="Times New Roman" w:hAnsi="Times New Roman" w:cs="Times New Roman"/>
          <w:color w:val="000000" w:themeColor="text1"/>
          <w:sz w:val="28"/>
          <w:szCs w:val="28"/>
        </w:rPr>
        <w:t>, хотя и является временным явлением,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</w:t>
      </w:r>
      <w:r w:rsidR="00D32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налаживанию долговременных производственно-торговых цепочек между Россией и странами-членами ЕАЭС, </w:t>
      </w:r>
      <w:proofErr w:type="spellStart"/>
      <w:r w:rsidR="00D32119">
        <w:rPr>
          <w:rFonts w:ascii="Times New Roman" w:hAnsi="Times New Roman" w:cs="Times New Roman"/>
          <w:color w:val="000000" w:themeColor="text1"/>
          <w:sz w:val="28"/>
          <w:szCs w:val="28"/>
        </w:rPr>
        <w:t>ЕврАзЭС</w:t>
      </w:r>
      <w:proofErr w:type="spellEnd"/>
      <w:r w:rsidR="00D32119">
        <w:rPr>
          <w:rFonts w:ascii="Times New Roman" w:hAnsi="Times New Roman" w:cs="Times New Roman"/>
          <w:color w:val="000000" w:themeColor="text1"/>
          <w:sz w:val="28"/>
          <w:szCs w:val="28"/>
        </w:rPr>
        <w:t>, СНГ, например с Беларусью по молоку.</w:t>
      </w:r>
    </w:p>
    <w:p w:rsidR="00530E04" w:rsidRDefault="00137481" w:rsidP="00590E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менее значимым, на наш взгляд, является создание стабилизационного фонда по аналогии с действующими в ЕС фондами гарантирования и устойчивого развития</w:t>
      </w:r>
      <w:r w:rsidR="005950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6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06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26ADE">
        <w:rPr>
          <w:rFonts w:ascii="Times New Roman" w:hAnsi="Times New Roman" w:cs="Times New Roman"/>
          <w:color w:val="000000" w:themeColor="text1"/>
          <w:sz w:val="28"/>
          <w:szCs w:val="28"/>
        </w:rPr>
        <w:t>ы не можем на современном этапе воспроизводить принципы формирования</w:t>
      </w:r>
      <w:r w:rsidR="007C70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6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функционирования и уровень наполнения этого фонда, но при этом </w:t>
      </w:r>
      <w:r w:rsidR="0099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</w:t>
      </w:r>
      <w:r w:rsidR="00E26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сохранить главную цель создания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обеспечение </w:t>
      </w:r>
      <w:r w:rsidR="00530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выравнивание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доходности национальных </w:t>
      </w:r>
      <w:r w:rsidR="00DB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товаропроизводителей. </w:t>
      </w:r>
      <w:r w:rsidR="00B558AD">
        <w:rPr>
          <w:rFonts w:ascii="Times New Roman" w:hAnsi="Times New Roman" w:cs="Times New Roman"/>
          <w:color w:val="000000" w:themeColor="text1"/>
          <w:sz w:val="28"/>
          <w:szCs w:val="28"/>
        </w:rPr>
        <w:t>Это могло бы стать одной из мер</w:t>
      </w:r>
      <w:r w:rsidR="00530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228" w:rsidRPr="00F2422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</w:t>
      </w:r>
      <w:r w:rsidR="00530E0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24228" w:rsidRPr="00F24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привлекательности ЕАЭС</w:t>
      </w:r>
      <w:r w:rsidR="00530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тем более в условиях, </w:t>
      </w:r>
      <w:r w:rsidR="00530E04" w:rsidRPr="00F24228">
        <w:rPr>
          <w:rFonts w:ascii="Times New Roman" w:hAnsi="Times New Roman" w:cs="Times New Roman"/>
          <w:color w:val="000000" w:themeColor="text1"/>
          <w:sz w:val="28"/>
          <w:szCs w:val="28"/>
        </w:rPr>
        <w:t>когда ряды ЕАЭС готовятся пополнить Киргизия и Армения.</w:t>
      </w:r>
      <w:r w:rsidR="00530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45FD" w:rsidRDefault="00530E04" w:rsidP="00530E0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этой цели следует идти поэтапно. На первом этапе можно было бы реализовывать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инвестиционно-инновационные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в целях развития общего рынка и импортозамещения. На этом же этапе необходимо развитие межгосударственной товаропроводящей сети</w:t>
      </w:r>
      <w:r w:rsidR="000125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27FD" w:rsidRPr="006C27FD" w:rsidRDefault="00500435" w:rsidP="006C27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известно, разработана </w:t>
      </w:r>
      <w:r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«Создание Евразийской товаропроводящей системы сельскохозяйственной продукции, сырья и продовольствия»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27FD"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оценкам экспертов,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6C27FD"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может обеспечить:</w:t>
      </w:r>
    </w:p>
    <w:p w:rsidR="006C27FD" w:rsidRPr="006C27FD" w:rsidRDefault="006C27FD" w:rsidP="006C27FD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сокращение срока перемещения товаров между крайними точками сети Астана-Брест и Астана-Санкт-Петербург на 7 дней;</w:t>
      </w:r>
    </w:p>
    <w:p w:rsidR="006C27FD" w:rsidRPr="006C27FD" w:rsidRDefault="006C27FD" w:rsidP="006C27FD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уменьшение </w:t>
      </w:r>
      <w:proofErr w:type="spellStart"/>
      <w:r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>среднеоптовых</w:t>
      </w:r>
      <w:proofErr w:type="spellEnd"/>
      <w:r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закупок сельскохозяйственной продукции, сырья и продовольствия на 13-17% за счет сокращения числа посредников;</w:t>
      </w:r>
    </w:p>
    <w:p w:rsidR="006C27FD" w:rsidRPr="006C27FD" w:rsidRDefault="006C27FD" w:rsidP="006C27FD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прироста валового внутреннего проду</w:t>
      </w:r>
      <w:r w:rsidR="00741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 АПК государств </w:t>
      </w:r>
      <w:r w:rsidR="006B4BB5">
        <w:rPr>
          <w:rFonts w:ascii="Times New Roman" w:hAnsi="Times New Roman" w:cs="Times New Roman"/>
          <w:color w:val="000000" w:themeColor="text1"/>
          <w:sz w:val="28"/>
          <w:szCs w:val="28"/>
        </w:rPr>
        <w:t>ЕАЭС</w:t>
      </w:r>
      <w:r w:rsidR="00741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5-10%</w:t>
      </w:r>
      <w:r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27FD" w:rsidRPr="006C27FD" w:rsidRDefault="006C27FD" w:rsidP="006C27FD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прирост объема товарооборота в агропродовольственном сегменте </w:t>
      </w:r>
      <w:r w:rsidR="00741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государствами </w:t>
      </w:r>
      <w:r w:rsidR="006B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ЕАЭС </w:t>
      </w:r>
      <w:r w:rsidR="00741272">
        <w:rPr>
          <w:rFonts w:ascii="Times New Roman" w:hAnsi="Times New Roman" w:cs="Times New Roman"/>
          <w:color w:val="000000" w:themeColor="text1"/>
          <w:sz w:val="28"/>
          <w:szCs w:val="28"/>
        </w:rPr>
        <w:t>на 3-5%</w:t>
      </w:r>
      <w:r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435" w:rsidRDefault="006C27FD" w:rsidP="006C27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возмещения затрат на создание и поддержку функционирования </w:t>
      </w:r>
      <w:r w:rsidR="00500435">
        <w:rPr>
          <w:rFonts w:ascii="Times New Roman" w:hAnsi="Times New Roman" w:cs="Times New Roman"/>
          <w:color w:val="000000" w:themeColor="text1"/>
          <w:sz w:val="28"/>
          <w:szCs w:val="28"/>
        </w:rPr>
        <w:t>этой системы</w:t>
      </w:r>
      <w:r w:rsidRPr="006C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около пяти лет</w:t>
      </w:r>
      <w:r w:rsidR="005004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748" w:rsidRDefault="00012541" w:rsidP="00530E0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следует разработать научно-обоснованную систему размещения и специализации сельскохозяйственного производства в рамках Союза. И, конечно, скоординировать научные исследования и подготовку аграрных кадров. </w:t>
      </w:r>
    </w:p>
    <w:p w:rsidR="00530E04" w:rsidRDefault="00012541" w:rsidP="00530E0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втором этапе </w:t>
      </w:r>
      <w:r w:rsidR="00955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страховых фондов </w:t>
      </w:r>
      <w:r w:rsidR="00955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случай наступления чрезвычайных ситуаций в аграрном секторе;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="0095532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устойчивости развития. По мере развития интеграции и формирования общего аграрного рынка можно будет </w:t>
      </w:r>
      <w:r w:rsidR="00054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поставить вопрос о выравнивании </w:t>
      </w:r>
      <w:r w:rsidR="00C436A5">
        <w:rPr>
          <w:rFonts w:ascii="Times New Roman" w:hAnsi="Times New Roman" w:cs="Times New Roman"/>
          <w:color w:val="000000" w:themeColor="text1"/>
          <w:sz w:val="28"/>
          <w:szCs w:val="28"/>
        </w:rPr>
        <w:t>доходности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</w:t>
      </w:r>
      <w:r w:rsidR="00C436A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6A5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 Союза.</w:t>
      </w:r>
    </w:p>
    <w:p w:rsidR="000A0D1A" w:rsidRPr="000A0D1A" w:rsidRDefault="000A0D1A" w:rsidP="000A0D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заключением</w:t>
      </w:r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 не коснуться одного смежного с АПК, но от этого не менее важного вопроса – необходимости широкого внедрения в АПК </w:t>
      </w:r>
      <w:proofErr w:type="spellStart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>биотехно</w:t>
      </w:r>
      <w:r w:rsidR="00BA3748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>гических</w:t>
      </w:r>
      <w:proofErr w:type="spellEnd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 переработки сельскохозяйственного сырья и отходов его традиционной переработки: стеблей, соломы, кочерыжек, половы и т.п.</w:t>
      </w:r>
    </w:p>
    <w:p w:rsidR="000A0D1A" w:rsidRPr="000A0D1A" w:rsidRDefault="000A0D1A" w:rsidP="000A0D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истекшее десятилетие многие развитые и развивающиеся государства, включая ряд государств бывшего СССР и бывшего Совета экономической взаимопомощи, приняли ряд достаточно </w:t>
      </w:r>
      <w:proofErr w:type="gramStart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>амбициозных</w:t>
      </w:r>
      <w:proofErr w:type="gramEnd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в сфере освоения промышленной биотехнологии, основной целью которых, в частности, являлось производство различных модификаций биотоплива из </w:t>
      </w:r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разнообразного сельскохозяйственного сырья и отходов его несовершенной переработки.</w:t>
      </w:r>
    </w:p>
    <w:p w:rsidR="000A0D1A" w:rsidRPr="000A0D1A" w:rsidRDefault="000A0D1A" w:rsidP="000A0D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ранее экономически обоснованные и пользующиеся государственной поддержкой программы были приняты Бразилией, Китаем, США и государствами-членами ЕС. Это обеспечило им преимущество в сферах производства, потребления и внешней торговли жидким моторным </w:t>
      </w:r>
      <w:proofErr w:type="spellStart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>биотопливом</w:t>
      </w:r>
      <w:proofErr w:type="spellEnd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>биоэтанолом</w:t>
      </w:r>
      <w:proofErr w:type="spellEnd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>биодизелем</w:t>
      </w:r>
      <w:proofErr w:type="spellEnd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0D1A" w:rsidRPr="000A0D1A" w:rsidRDefault="000A0D1A" w:rsidP="000A0D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Инициатором и головным заказчиком межгосударственной евразийской программы «Инновационная биотехнология», которая должна привести к получению новых практических результатов является Белоруссия. Кроме того, за истекшее пятилетие в Белоруссии предпринимались попытки производства в пилотных масштабах биоэтанола из топинамбура и </w:t>
      </w:r>
      <w:proofErr w:type="spellStart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>биодизеля</w:t>
      </w:r>
      <w:proofErr w:type="spellEnd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масличных.</w:t>
      </w:r>
    </w:p>
    <w:p w:rsidR="000A0D1A" w:rsidRPr="000A0D1A" w:rsidRDefault="000A0D1A" w:rsidP="000A0D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Действительно, как показывают предварительные расчеты экспертов Российской </w:t>
      </w:r>
      <w:r w:rsidR="00FB1BE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ациональной </w:t>
      </w:r>
      <w:r w:rsidR="00FB1BE8">
        <w:rPr>
          <w:rFonts w:ascii="Times New Roman" w:hAnsi="Times New Roman" w:cs="Times New Roman"/>
          <w:color w:val="000000" w:themeColor="text1"/>
          <w:sz w:val="28"/>
          <w:szCs w:val="28"/>
        </w:rPr>
        <w:t>биотопливной а</w:t>
      </w:r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ссоциации и Аграрного центра </w:t>
      </w:r>
      <w:proofErr w:type="spellStart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>ЕврАзЭС</w:t>
      </w:r>
      <w:proofErr w:type="spellEnd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реализации современного проекта по глубокой переработке сельскохозяйственного сырья на примере фуражной пшеницы 4 и 5 класса и получении в качестве продуктов пищевой клейковины, </w:t>
      </w:r>
      <w:proofErr w:type="spellStart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>глюкозо-фруктозных</w:t>
      </w:r>
      <w:proofErr w:type="spellEnd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сиропов, органических кислот, биоэтанола и высокопротеиновых кормов в виде шрота, даже при гарантированной цене сырья на уровне 250 долл</w:t>
      </w:r>
      <w:r w:rsidR="00FB1BE8">
        <w:rPr>
          <w:rFonts w:ascii="Times New Roman" w:hAnsi="Times New Roman" w:cs="Times New Roman"/>
          <w:color w:val="000000" w:themeColor="text1"/>
          <w:sz w:val="28"/>
          <w:szCs w:val="28"/>
        </w:rPr>
        <w:t>. США</w:t>
      </w:r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тонну</w:t>
      </w:r>
      <w:r w:rsidR="00FB1B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произвести продукции на 600-750 долл</w:t>
      </w:r>
      <w:r w:rsidR="00FB1B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1BE8" w:rsidRPr="00FB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BE8">
        <w:rPr>
          <w:rFonts w:ascii="Times New Roman" w:hAnsi="Times New Roman" w:cs="Times New Roman"/>
          <w:color w:val="000000" w:themeColor="text1"/>
          <w:sz w:val="28"/>
          <w:szCs w:val="28"/>
        </w:rPr>
        <w:t>США</w:t>
      </w:r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обеспечить 30-40-процентную рентабельность производства при реализации трех первых видов продукции на внутреннем рынке </w:t>
      </w:r>
      <w:r w:rsidR="00FB1BE8">
        <w:rPr>
          <w:rFonts w:ascii="Times New Roman" w:hAnsi="Times New Roman" w:cs="Times New Roman"/>
          <w:color w:val="000000" w:themeColor="text1"/>
          <w:sz w:val="28"/>
          <w:szCs w:val="28"/>
        </w:rPr>
        <w:t>ЕАЭС</w:t>
      </w:r>
      <w:r w:rsidRPr="000A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поставке 50% объема производимого биоэтанола на экспорт.</w:t>
      </w:r>
    </w:p>
    <w:p w:rsidR="001166EC" w:rsidRDefault="00C436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Резюмируя </w:t>
      </w:r>
      <w:r w:rsidR="000A0D1A">
        <w:rPr>
          <w:rFonts w:ascii="Times New Roman" w:hAnsi="Times New Roman" w:cs="Times New Roman"/>
          <w:color w:val="000000" w:themeColor="text1"/>
          <w:sz w:val="28"/>
          <w:szCs w:val="28"/>
        </w:rPr>
        <w:t>свое выступление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хотелось бы </w:t>
      </w:r>
      <w:r w:rsidR="0011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выделить </w:t>
      </w:r>
      <w:r w:rsidR="007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существенных </w:t>
      </w:r>
      <w:r w:rsidR="0011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 и </w:t>
      </w:r>
      <w:r w:rsidR="007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 складывающихся </w:t>
      </w:r>
      <w:r w:rsidR="001166EC">
        <w:rPr>
          <w:rFonts w:ascii="Times New Roman" w:hAnsi="Times New Roman" w:cs="Times New Roman"/>
          <w:color w:val="000000" w:themeColor="text1"/>
          <w:sz w:val="28"/>
          <w:szCs w:val="28"/>
        </w:rPr>
        <w:t>трудностей</w:t>
      </w:r>
      <w:r w:rsidR="007040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возникающих </w:t>
      </w:r>
      <w:r w:rsidR="0011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углубления интеграционных связей. </w:t>
      </w:r>
    </w:p>
    <w:p w:rsidR="009B3D63" w:rsidRDefault="00B51D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показала практика, одними из основных </w:t>
      </w:r>
      <w:r w:rsidR="009B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интеграции </w:t>
      </w:r>
      <w:r w:rsidR="009B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формате таможенного союза</w:t>
      </w:r>
      <w:r w:rsidR="009B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АПК стали</w:t>
      </w:r>
      <w:r w:rsidR="009B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объемов взаимной</w:t>
      </w:r>
      <w:r w:rsidR="009B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торговли за 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расширения </w:t>
      </w:r>
      <w:r w:rsidR="009B3D63">
        <w:rPr>
          <w:rFonts w:ascii="Times New Roman" w:hAnsi="Times New Roman" w:cs="Times New Roman"/>
          <w:color w:val="000000" w:themeColor="text1"/>
          <w:sz w:val="28"/>
          <w:szCs w:val="28"/>
        </w:rPr>
        <w:t>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увеличение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конкурентоспособности за счет отмены внутренних таможенных барьеров</w:t>
      </w:r>
      <w:r w:rsidR="009B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унификация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внешней </w:t>
      </w:r>
      <w:r w:rsidR="009B3D63">
        <w:rPr>
          <w:rFonts w:ascii="Times New Roman" w:hAnsi="Times New Roman" w:cs="Times New Roman"/>
          <w:color w:val="000000" w:themeColor="text1"/>
          <w:sz w:val="28"/>
          <w:szCs w:val="28"/>
        </w:rPr>
        <w:t>таможенной границы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41B1" w:rsidRDefault="00A141B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трудностей, то они возникли на этом же этапе и наглядно проявились в различных формах и уровнях поддержки национальных производителей</w:t>
      </w:r>
      <w:r w:rsidR="007419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9D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потребовало поиска согласованных подходов к проводимой экономической политик</w:t>
      </w:r>
      <w:r w:rsidR="00FB1B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4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ускорения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переход</w:t>
      </w:r>
      <w:r w:rsidR="007419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419D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74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таможенного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экономическому союзу.</w:t>
      </w:r>
      <w:r w:rsidR="0013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31BB">
        <w:rPr>
          <w:rFonts w:ascii="Times New Roman" w:hAnsi="Times New Roman" w:cs="Times New Roman"/>
          <w:color w:val="000000" w:themeColor="text1"/>
          <w:sz w:val="28"/>
          <w:szCs w:val="28"/>
        </w:rPr>
        <w:t>И здесь необходимо осознавать, что с развитием интеграционных процессов и формированием экономического союза часть функций экономическо</w:t>
      </w:r>
      <w:r w:rsidR="00FB1BE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13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регулирования придется передавать от национальных к межгосударственному коллективному органу управления.</w:t>
      </w:r>
      <w:proofErr w:type="gramEnd"/>
      <w:r w:rsidR="0013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при этом, в отличи</w:t>
      </w:r>
      <w:r w:rsidR="00FB1B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3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B1B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331BB">
        <w:rPr>
          <w:rFonts w:ascii="Times New Roman" w:hAnsi="Times New Roman" w:cs="Times New Roman"/>
          <w:color w:val="000000" w:themeColor="text1"/>
          <w:sz w:val="28"/>
          <w:szCs w:val="28"/>
        </w:rPr>
        <w:t>вропейского союза, руководители наших стран договорились, что при принятии решений каждая страна имеет равный голос.</w:t>
      </w:r>
    </w:p>
    <w:p w:rsidR="00C436A5" w:rsidRDefault="001331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хотелось бы </w:t>
      </w:r>
      <w:r w:rsidR="00C4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выделить ряд направлений, по которым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предстоит</w:t>
      </w:r>
      <w:r w:rsidR="0017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выйти на согласованные позиции.</w:t>
      </w:r>
    </w:p>
    <w:p w:rsidR="00173319" w:rsidRDefault="001733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общего аграрного рынка:</w:t>
      </w:r>
    </w:p>
    <w:p w:rsidR="00C436A5" w:rsidRDefault="00C436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</w:t>
      </w:r>
      <w:r w:rsidR="0005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неоправданной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межстрановой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конкуренции на рынках на основе разработки продовольственных балансов и </w:t>
      </w:r>
      <w:r w:rsidR="0005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других организационно-экономических механизмов;</w:t>
      </w:r>
    </w:p>
    <w:p w:rsidR="00C436A5" w:rsidRDefault="004B40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общей товаропроводящей системы для продвижения аграрной продукции на внутренние и внешние рынки, имея в виду снижение совокупных издержек;</w:t>
      </w:r>
    </w:p>
    <w:p w:rsidR="004B407B" w:rsidRDefault="004B40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экспортных </w:t>
      </w:r>
      <w:r w:rsidR="00602A89">
        <w:rPr>
          <w:rFonts w:ascii="Times New Roman" w:hAnsi="Times New Roman" w:cs="Times New Roman"/>
          <w:color w:val="000000" w:themeColor="text1"/>
          <w:sz w:val="28"/>
          <w:szCs w:val="28"/>
        </w:rPr>
        <w:t>операций,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всего для повышения экономической заинтересованности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сельскохозяйственных производит</w:t>
      </w:r>
      <w:r w:rsidR="0005396B">
        <w:rPr>
          <w:rFonts w:ascii="Times New Roman" w:hAnsi="Times New Roman" w:cs="Times New Roman"/>
          <w:color w:val="000000" w:themeColor="text1"/>
          <w:sz w:val="28"/>
          <w:szCs w:val="28"/>
        </w:rPr>
        <w:t>елей.</w:t>
      </w:r>
    </w:p>
    <w:p w:rsidR="001A4E6A" w:rsidRDefault="008D1BCF" w:rsidP="004B40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4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DC1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4B4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агропромышленного производства</w:t>
      </w:r>
      <w:r w:rsidR="001A4E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407B" w:rsidRDefault="004B407B" w:rsidP="004B40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единой схемы размещения и специализации производства сельскохозяйственной продукции и пищевых продуктов</w:t>
      </w:r>
      <w:r w:rsidR="001A4E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4E6A" w:rsidRDefault="001A4E6A" w:rsidP="004B40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межгосударственных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механизмов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стимулирования развития агропромышленного производства в целях увеличения внутреннего потребления и формирования экспортного потенциала.</w:t>
      </w:r>
    </w:p>
    <w:p w:rsidR="00324DC1" w:rsidRDefault="008D1BCF" w:rsidP="004B40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324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норма</w:t>
      </w:r>
      <w:r w:rsidR="008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тивного правового регулирования – </w:t>
      </w:r>
      <w:r w:rsidR="00324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завершение оформления статуса Евразийского экономического союза и наделение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исполнительных</w:t>
      </w:r>
      <w:r w:rsidR="008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органов, в частности в аграрной сфере, </w:t>
      </w:r>
      <w:r w:rsidR="00324DC1">
        <w:rPr>
          <w:rFonts w:ascii="Times New Roman" w:hAnsi="Times New Roman" w:cs="Times New Roman"/>
          <w:color w:val="000000" w:themeColor="text1"/>
          <w:sz w:val="28"/>
          <w:szCs w:val="28"/>
        </w:rPr>
        <w:t>полномо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чиями и ресурсами по аналогии с Европейским союзом.</w:t>
      </w:r>
    </w:p>
    <w:p w:rsidR="008D1BCF" w:rsidRDefault="008D1BCF" w:rsidP="004B40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научно-исследовательской деятельности – координация и разработка планов совместных исследований в области технологии и экономики агропромышленного производства.</w:t>
      </w:r>
    </w:p>
    <w:p w:rsidR="00173319" w:rsidRDefault="008D1BCF" w:rsidP="004B40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социальной политики на селе – синхронизация нормативного и правового обеспечения </w:t>
      </w:r>
      <w:r w:rsidR="0017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стандартизации жизнеобеспечения сельского населения. </w:t>
      </w:r>
    </w:p>
    <w:p w:rsidR="00173319" w:rsidRDefault="00173319" w:rsidP="001733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указанных направлений целесообразно было бы создать межгосударственный центр по мониторингу и прогнозированию продовольственной ситуации в </w:t>
      </w:r>
      <w:r w:rsidR="00995191">
        <w:rPr>
          <w:rFonts w:ascii="Times New Roman" w:hAnsi="Times New Roman" w:cs="Times New Roman"/>
          <w:color w:val="000000" w:themeColor="text1"/>
          <w:sz w:val="28"/>
          <w:szCs w:val="28"/>
        </w:rPr>
        <w:t>Евразийском экономическом союзе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01B5" w:rsidRDefault="000A01B5" w:rsidP="001733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все мы объединены целью повышения благосостояния народов наших стран</w:t>
      </w:r>
      <w:r w:rsidR="003D33F9">
        <w:rPr>
          <w:rFonts w:ascii="Times New Roman" w:hAnsi="Times New Roman" w:cs="Times New Roman"/>
          <w:color w:val="000000" w:themeColor="text1"/>
          <w:sz w:val="28"/>
          <w:szCs w:val="28"/>
        </w:rPr>
        <w:t>.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предполагает, что наши экономики должны быть сильными перед возникающими рисками и угрозами, которые будут сопровождать нас </w:t>
      </w:r>
      <w:r w:rsidR="003D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длительное время</w:t>
      </w:r>
      <w:r w:rsidR="00BC7B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B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оэтому задача </w:t>
      </w:r>
      <w:r w:rsidR="003D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аграрного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научного сообщества предложить научно обоснованные решения, которые способствова</w:t>
      </w:r>
      <w:r w:rsidR="003D33F9">
        <w:rPr>
          <w:rFonts w:ascii="Times New Roman" w:hAnsi="Times New Roman" w:cs="Times New Roman"/>
          <w:color w:val="000000" w:themeColor="text1"/>
          <w:sz w:val="28"/>
          <w:szCs w:val="28"/>
        </w:rPr>
        <w:t>ли 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B29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цели</w:t>
      </w:r>
      <w:r w:rsidR="003D33F9">
        <w:rPr>
          <w:rFonts w:ascii="Times New Roman" w:hAnsi="Times New Roman" w:cs="Times New Roman"/>
          <w:color w:val="000000" w:themeColor="text1"/>
          <w:sz w:val="28"/>
          <w:szCs w:val="28"/>
        </w:rPr>
        <w:t>, ради которой создается Евразийский экономический союз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1BCF" w:rsidRPr="00AA3D83" w:rsidRDefault="008D1BCF" w:rsidP="004B40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1BCF" w:rsidRPr="00AA3D83" w:rsidSect="001C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1C" w:rsidRDefault="0026481C" w:rsidP="00BA7ABD">
      <w:pPr>
        <w:spacing w:after="0" w:line="240" w:lineRule="auto"/>
      </w:pPr>
      <w:r>
        <w:separator/>
      </w:r>
    </w:p>
  </w:endnote>
  <w:endnote w:type="continuationSeparator" w:id="0">
    <w:p w:rsidR="0026481C" w:rsidRDefault="0026481C" w:rsidP="00BA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5669"/>
      <w:docPartObj>
        <w:docPartGallery w:val="Page Numbers (Bottom of Page)"/>
        <w:docPartUnique/>
      </w:docPartObj>
    </w:sdtPr>
    <w:sdtContent>
      <w:p w:rsidR="00861DD7" w:rsidRDefault="00542C68">
        <w:pPr>
          <w:pStyle w:val="a6"/>
          <w:jc w:val="right"/>
        </w:pPr>
        <w:fldSimple w:instr=" PAGE   \* MERGEFORMAT ">
          <w:r w:rsidR="00AD67F2">
            <w:rPr>
              <w:noProof/>
            </w:rPr>
            <w:t>3</w:t>
          </w:r>
        </w:fldSimple>
      </w:p>
    </w:sdtContent>
  </w:sdt>
  <w:p w:rsidR="00861DD7" w:rsidRDefault="00861D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5670"/>
      <w:docPartObj>
        <w:docPartGallery w:val="Page Numbers (Bottom of Page)"/>
        <w:docPartUnique/>
      </w:docPartObj>
    </w:sdtPr>
    <w:sdtContent>
      <w:p w:rsidR="00861DD7" w:rsidRDefault="00542C68">
        <w:pPr>
          <w:pStyle w:val="a6"/>
          <w:jc w:val="right"/>
        </w:pPr>
        <w:fldSimple w:instr=" PAGE   \* MERGEFORMAT ">
          <w:r w:rsidR="00AD67F2">
            <w:rPr>
              <w:noProof/>
            </w:rPr>
            <w:t>1</w:t>
          </w:r>
        </w:fldSimple>
      </w:p>
    </w:sdtContent>
  </w:sdt>
  <w:p w:rsidR="00861DD7" w:rsidRDefault="00861D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1C" w:rsidRDefault="0026481C" w:rsidP="00BA7ABD">
      <w:pPr>
        <w:spacing w:after="0" w:line="240" w:lineRule="auto"/>
      </w:pPr>
      <w:r>
        <w:separator/>
      </w:r>
    </w:p>
  </w:footnote>
  <w:footnote w:type="continuationSeparator" w:id="0">
    <w:p w:rsidR="0026481C" w:rsidRDefault="0026481C" w:rsidP="00BA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AC0"/>
    <w:multiLevelType w:val="hybridMultilevel"/>
    <w:tmpl w:val="7D70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B43D08"/>
    <w:multiLevelType w:val="hybridMultilevel"/>
    <w:tmpl w:val="3814A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4F3AFC"/>
    <w:multiLevelType w:val="hybridMultilevel"/>
    <w:tmpl w:val="051A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839B7"/>
    <w:multiLevelType w:val="hybridMultilevel"/>
    <w:tmpl w:val="B39270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350D35"/>
    <w:multiLevelType w:val="hybridMultilevel"/>
    <w:tmpl w:val="D8F8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5334A"/>
    <w:multiLevelType w:val="hybridMultilevel"/>
    <w:tmpl w:val="DCC0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BB51E4"/>
    <w:multiLevelType w:val="hybridMultilevel"/>
    <w:tmpl w:val="C2F4A42C"/>
    <w:lvl w:ilvl="0" w:tplc="DD0CD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81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82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C2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A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4A0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A4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E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6B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4C1BEB"/>
    <w:multiLevelType w:val="hybridMultilevel"/>
    <w:tmpl w:val="90FC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F640D"/>
    <w:multiLevelType w:val="hybridMultilevel"/>
    <w:tmpl w:val="1FD47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C7682F"/>
    <w:multiLevelType w:val="hybridMultilevel"/>
    <w:tmpl w:val="55B6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E4F74"/>
    <w:multiLevelType w:val="hybridMultilevel"/>
    <w:tmpl w:val="A43C3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605"/>
    <w:rsid w:val="00012541"/>
    <w:rsid w:val="000156A5"/>
    <w:rsid w:val="0005396B"/>
    <w:rsid w:val="000545FD"/>
    <w:rsid w:val="00054D3C"/>
    <w:rsid w:val="00062980"/>
    <w:rsid w:val="0007591D"/>
    <w:rsid w:val="000A01B5"/>
    <w:rsid w:val="000A0D1A"/>
    <w:rsid w:val="000A20B0"/>
    <w:rsid w:val="000B1815"/>
    <w:rsid w:val="000B7EBD"/>
    <w:rsid w:val="000D32C8"/>
    <w:rsid w:val="000E0E49"/>
    <w:rsid w:val="000E4577"/>
    <w:rsid w:val="00112079"/>
    <w:rsid w:val="001166EC"/>
    <w:rsid w:val="001331BB"/>
    <w:rsid w:val="00137481"/>
    <w:rsid w:val="00140D10"/>
    <w:rsid w:val="00142D0C"/>
    <w:rsid w:val="00144FA8"/>
    <w:rsid w:val="00160A36"/>
    <w:rsid w:val="00173319"/>
    <w:rsid w:val="00194BB5"/>
    <w:rsid w:val="001A4668"/>
    <w:rsid w:val="001A4E6A"/>
    <w:rsid w:val="001B5BC4"/>
    <w:rsid w:val="001C2B16"/>
    <w:rsid w:val="001D5F06"/>
    <w:rsid w:val="001E3657"/>
    <w:rsid w:val="00207CD9"/>
    <w:rsid w:val="00217030"/>
    <w:rsid w:val="0022238D"/>
    <w:rsid w:val="00223949"/>
    <w:rsid w:val="002366AE"/>
    <w:rsid w:val="00262BBB"/>
    <w:rsid w:val="0026481C"/>
    <w:rsid w:val="00264A10"/>
    <w:rsid w:val="002B13BC"/>
    <w:rsid w:val="002B5C64"/>
    <w:rsid w:val="002D23AB"/>
    <w:rsid w:val="002E5605"/>
    <w:rsid w:val="00314251"/>
    <w:rsid w:val="00324DC1"/>
    <w:rsid w:val="003311E2"/>
    <w:rsid w:val="003429EF"/>
    <w:rsid w:val="003A609B"/>
    <w:rsid w:val="003D33F9"/>
    <w:rsid w:val="003E3F57"/>
    <w:rsid w:val="0041073C"/>
    <w:rsid w:val="00420C8A"/>
    <w:rsid w:val="00425DD6"/>
    <w:rsid w:val="00443427"/>
    <w:rsid w:val="0046205C"/>
    <w:rsid w:val="00483741"/>
    <w:rsid w:val="004946F2"/>
    <w:rsid w:val="004A1457"/>
    <w:rsid w:val="004B1360"/>
    <w:rsid w:val="004B407B"/>
    <w:rsid w:val="004C5108"/>
    <w:rsid w:val="004E656A"/>
    <w:rsid w:val="00500435"/>
    <w:rsid w:val="00513A05"/>
    <w:rsid w:val="00530E04"/>
    <w:rsid w:val="005315E4"/>
    <w:rsid w:val="00542C68"/>
    <w:rsid w:val="00590E35"/>
    <w:rsid w:val="0059506E"/>
    <w:rsid w:val="005C0C84"/>
    <w:rsid w:val="005F4D44"/>
    <w:rsid w:val="00602A89"/>
    <w:rsid w:val="00640431"/>
    <w:rsid w:val="00652B18"/>
    <w:rsid w:val="00654BF1"/>
    <w:rsid w:val="00692514"/>
    <w:rsid w:val="006930EF"/>
    <w:rsid w:val="00695A04"/>
    <w:rsid w:val="006A7C5A"/>
    <w:rsid w:val="006B4BB5"/>
    <w:rsid w:val="006C086B"/>
    <w:rsid w:val="006C27FD"/>
    <w:rsid w:val="006D19C5"/>
    <w:rsid w:val="006E5C9E"/>
    <w:rsid w:val="006F1ABC"/>
    <w:rsid w:val="006F77E8"/>
    <w:rsid w:val="007040C6"/>
    <w:rsid w:val="00741272"/>
    <w:rsid w:val="007419DA"/>
    <w:rsid w:val="00751D76"/>
    <w:rsid w:val="00782E2C"/>
    <w:rsid w:val="007A226B"/>
    <w:rsid w:val="007B024B"/>
    <w:rsid w:val="007C4E7F"/>
    <w:rsid w:val="007C53D5"/>
    <w:rsid w:val="007C70CE"/>
    <w:rsid w:val="007D2CDC"/>
    <w:rsid w:val="007E3436"/>
    <w:rsid w:val="007F2EFE"/>
    <w:rsid w:val="0081321A"/>
    <w:rsid w:val="00814BE0"/>
    <w:rsid w:val="00840763"/>
    <w:rsid w:val="00861DD7"/>
    <w:rsid w:val="00866150"/>
    <w:rsid w:val="0089051B"/>
    <w:rsid w:val="00893971"/>
    <w:rsid w:val="008953E3"/>
    <w:rsid w:val="008C31A0"/>
    <w:rsid w:val="008D1BCF"/>
    <w:rsid w:val="008D48B0"/>
    <w:rsid w:val="00900360"/>
    <w:rsid w:val="00916DDC"/>
    <w:rsid w:val="00955325"/>
    <w:rsid w:val="00971BC3"/>
    <w:rsid w:val="00995191"/>
    <w:rsid w:val="00996D20"/>
    <w:rsid w:val="009A0E68"/>
    <w:rsid w:val="009B3D63"/>
    <w:rsid w:val="009C68F3"/>
    <w:rsid w:val="009C6FDF"/>
    <w:rsid w:val="009E0FF6"/>
    <w:rsid w:val="00A04C2C"/>
    <w:rsid w:val="00A12FBA"/>
    <w:rsid w:val="00A141B1"/>
    <w:rsid w:val="00A3223B"/>
    <w:rsid w:val="00A34C7D"/>
    <w:rsid w:val="00A55BB2"/>
    <w:rsid w:val="00A7253D"/>
    <w:rsid w:val="00A87DF3"/>
    <w:rsid w:val="00AA0A62"/>
    <w:rsid w:val="00AA3D83"/>
    <w:rsid w:val="00AB4237"/>
    <w:rsid w:val="00AD67F2"/>
    <w:rsid w:val="00B20AE1"/>
    <w:rsid w:val="00B21474"/>
    <w:rsid w:val="00B262F5"/>
    <w:rsid w:val="00B51DD9"/>
    <w:rsid w:val="00B558AD"/>
    <w:rsid w:val="00BA3748"/>
    <w:rsid w:val="00BA7ABD"/>
    <w:rsid w:val="00BC4B50"/>
    <w:rsid w:val="00BC7B29"/>
    <w:rsid w:val="00BE3866"/>
    <w:rsid w:val="00C028A8"/>
    <w:rsid w:val="00C11BBF"/>
    <w:rsid w:val="00C12219"/>
    <w:rsid w:val="00C203D1"/>
    <w:rsid w:val="00C436A5"/>
    <w:rsid w:val="00C447F7"/>
    <w:rsid w:val="00C51703"/>
    <w:rsid w:val="00C562F2"/>
    <w:rsid w:val="00C626C9"/>
    <w:rsid w:val="00C8029D"/>
    <w:rsid w:val="00C8735C"/>
    <w:rsid w:val="00C96427"/>
    <w:rsid w:val="00CA0B56"/>
    <w:rsid w:val="00D10084"/>
    <w:rsid w:val="00D24C9C"/>
    <w:rsid w:val="00D31B31"/>
    <w:rsid w:val="00D32119"/>
    <w:rsid w:val="00D54A91"/>
    <w:rsid w:val="00D92B99"/>
    <w:rsid w:val="00DA3E25"/>
    <w:rsid w:val="00DB158F"/>
    <w:rsid w:val="00E016B6"/>
    <w:rsid w:val="00E11C22"/>
    <w:rsid w:val="00E2594E"/>
    <w:rsid w:val="00E26368"/>
    <w:rsid w:val="00E26ADE"/>
    <w:rsid w:val="00E36A8E"/>
    <w:rsid w:val="00E63C5D"/>
    <w:rsid w:val="00E7196C"/>
    <w:rsid w:val="00E93E7B"/>
    <w:rsid w:val="00EA64F3"/>
    <w:rsid w:val="00EE3315"/>
    <w:rsid w:val="00EE619E"/>
    <w:rsid w:val="00EF4125"/>
    <w:rsid w:val="00F07113"/>
    <w:rsid w:val="00F10377"/>
    <w:rsid w:val="00F2003F"/>
    <w:rsid w:val="00F24228"/>
    <w:rsid w:val="00F50424"/>
    <w:rsid w:val="00F663E9"/>
    <w:rsid w:val="00F71FEA"/>
    <w:rsid w:val="00F773C6"/>
    <w:rsid w:val="00FA5243"/>
    <w:rsid w:val="00FB1BE8"/>
    <w:rsid w:val="00FB7B27"/>
    <w:rsid w:val="00FC0946"/>
    <w:rsid w:val="00FD5292"/>
    <w:rsid w:val="00FD5BF9"/>
    <w:rsid w:val="00FE69B8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7ABD"/>
  </w:style>
  <w:style w:type="paragraph" w:styleId="a6">
    <w:name w:val="footer"/>
    <w:basedOn w:val="a"/>
    <w:link w:val="a7"/>
    <w:uiPriority w:val="99"/>
    <w:unhideWhenUsed/>
    <w:rsid w:val="00BA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ABD"/>
  </w:style>
  <w:style w:type="paragraph" w:styleId="a8">
    <w:name w:val="Balloon Text"/>
    <w:basedOn w:val="a"/>
    <w:link w:val="a9"/>
    <w:uiPriority w:val="99"/>
    <w:semiHidden/>
    <w:unhideWhenUsed/>
    <w:rsid w:val="00E6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C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2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FD529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A0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27996697993396086"/>
          <c:y val="3.3826094318855311E-2"/>
          <c:w val="0.41074052693559926"/>
          <c:h val="0.966173905681144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6850380760745104"/>
                  <c:y val="0.1312771617833485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2.8973013541754356E-2"/>
                  <c:y val="-5.4883853803988837E-2"/>
                </c:manualLayout>
              </c:layout>
              <c:showVal val="1"/>
              <c:showCatName val="1"/>
            </c:dLbl>
            <c:numFmt formatCode="General" sourceLinked="0"/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Беларусь</c:v>
                </c:pt>
                <c:pt idx="1">
                  <c:v>Казахстан</c:v>
                </c:pt>
                <c:pt idx="2">
                  <c:v>Россия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38.5</c:v>
                </c:pt>
                <c:pt idx="1">
                  <c:v>25.3</c:v>
                </c:pt>
                <c:pt idx="2">
                  <c:v>36.200000000000003</c:v>
                </c:pt>
              </c:numCache>
            </c:numRef>
          </c:val>
        </c:ser>
        <c:firstSliceAng val="0"/>
      </c:pieChart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10073966363960603"/>
          <c:y val="5.7127341840890584E-2"/>
          <c:w val="0.87370865227212657"/>
          <c:h val="0.6585844872839170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ЕС</c:v>
                </c:pt>
              </c:strCache>
            </c:strRef>
          </c:tx>
          <c:dLbls>
            <c:dLbl>
              <c:idx val="4"/>
              <c:layout>
                <c:manualLayout>
                  <c:x val="4.9019607843137575E-3"/>
                  <c:y val="9.3564876051527891E-3"/>
                </c:manualLayout>
              </c:layout>
              <c:dLblPos val="t"/>
              <c:showVal val="1"/>
            </c:dLbl>
            <c:numFmt formatCode="0%" sourceLinked="0"/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2004</c:v>
                </c:pt>
                <c:pt idx="1">
                  <c:v>2008</c:v>
                </c:pt>
                <c:pt idx="2">
                  <c:v>2012</c:v>
                </c:pt>
                <c:pt idx="3">
                  <c:v>2016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0.00</c:formatCode>
                <c:ptCount val="5"/>
                <c:pt idx="0">
                  <c:v>1.1000000000000001</c:v>
                </c:pt>
                <c:pt idx="1">
                  <c:v>1</c:v>
                </c:pt>
                <c:pt idx="2">
                  <c:v>1.1000000000000001</c:v>
                </c:pt>
                <c:pt idx="3">
                  <c:v>1.1000000000000001</c:v>
                </c:pt>
                <c:pt idx="4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ЕАЭС</c:v>
                </c:pt>
              </c:strCache>
            </c:strRef>
          </c:tx>
          <c:dLbls>
            <c:dLbl>
              <c:idx val="2"/>
              <c:layout>
                <c:manualLayout>
                  <c:x val="2.1241830065359599E-2"/>
                  <c:y val="0.11539970932731228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6.5359477124183182E-3"/>
                  <c:y val="0.10916188720151195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4.9019607843137575E-3"/>
                  <c:y val="0.13099426464181393"/>
                </c:manualLayout>
              </c:layout>
              <c:dLblPos val="t"/>
              <c:showVal val="1"/>
            </c:dLbl>
            <c:numFmt formatCode="0%" sourceLinked="0"/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2004</c:v>
                </c:pt>
                <c:pt idx="1">
                  <c:v>2008</c:v>
                </c:pt>
                <c:pt idx="2">
                  <c:v>2012</c:v>
                </c:pt>
                <c:pt idx="3">
                  <c:v>2016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0.00</c:formatCode>
                <c:ptCount val="5"/>
                <c:pt idx="0">
                  <c:v>0.8</c:v>
                </c:pt>
                <c:pt idx="1">
                  <c:v>0.70000000000000062</c:v>
                </c:pt>
                <c:pt idx="2">
                  <c:v>0.70000000000000062</c:v>
                </c:pt>
                <c:pt idx="3">
                  <c:v>0.8</c:v>
                </c:pt>
                <c:pt idx="4">
                  <c:v>0.8</c:v>
                </c:pt>
              </c:numCache>
            </c:numRef>
          </c:val>
        </c:ser>
        <c:marker val="1"/>
        <c:axId val="43149952"/>
        <c:axId val="43151744"/>
      </c:lineChart>
      <c:catAx>
        <c:axId val="43149952"/>
        <c:scaling>
          <c:orientation val="minMax"/>
        </c:scaling>
        <c:axPos val="b"/>
        <c:numFmt formatCode="General" sourceLinked="1"/>
        <c:tickLblPos val="low"/>
        <c:spPr>
          <a:ln w="50800"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43151744"/>
        <c:crossesAt val="1"/>
        <c:auto val="1"/>
        <c:lblAlgn val="ctr"/>
        <c:lblOffset val="100"/>
      </c:catAx>
      <c:valAx>
        <c:axId val="43151744"/>
        <c:scaling>
          <c:orientation val="minMax"/>
          <c:max val="1.2"/>
          <c:min val="0.5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3149952"/>
        <c:crosses val="autoZero"/>
        <c:crossBetween val="between"/>
        <c:majorUnit val="0.1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>
        <c:manualLayout>
          <c:layoutTarget val="inner"/>
          <c:xMode val="edge"/>
          <c:yMode val="edge"/>
          <c:x val="0.10073966363960603"/>
          <c:y val="5.7127341840890584E-2"/>
          <c:w val="0.87370865227212613"/>
          <c:h val="0.6585844872839170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ЕС</c:v>
                </c:pt>
              </c:strCache>
            </c:strRef>
          </c:tx>
          <c:dLbls>
            <c:dLbl>
              <c:idx val="4"/>
              <c:layout>
                <c:manualLayout>
                  <c:x val="4.9019607843137532E-3"/>
                  <c:y val="9.3564876051527805E-3"/>
                </c:manualLayout>
              </c:layout>
              <c:dLblPos val="t"/>
              <c:showVal val="1"/>
            </c:dLbl>
            <c:numFmt formatCode="0%" sourceLinked="0"/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2004</c:v>
                </c:pt>
                <c:pt idx="1">
                  <c:v>2008</c:v>
                </c:pt>
                <c:pt idx="2">
                  <c:v>2012</c:v>
                </c:pt>
                <c:pt idx="3">
                  <c:v>2016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0.00</c:formatCode>
                <c:ptCount val="5"/>
                <c:pt idx="0">
                  <c:v>1.03</c:v>
                </c:pt>
                <c:pt idx="1">
                  <c:v>1</c:v>
                </c:pt>
                <c:pt idx="2">
                  <c:v>1.04</c:v>
                </c:pt>
                <c:pt idx="3">
                  <c:v>1.05</c:v>
                </c:pt>
                <c:pt idx="4">
                  <c:v>1.04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ЕАЭС</c:v>
                </c:pt>
              </c:strCache>
            </c:strRef>
          </c:tx>
          <c:dLbls>
            <c:dLbl>
              <c:idx val="2"/>
              <c:layout>
                <c:manualLayout>
                  <c:x val="2.1241830065359582E-2"/>
                  <c:y val="0.11539970932731228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6.5359477124183147E-3"/>
                  <c:y val="0.10916188720151189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4.9019607843137532E-3"/>
                  <c:y val="0.13099426464181393"/>
                </c:manualLayout>
              </c:layout>
              <c:dLblPos val="t"/>
              <c:showVal val="1"/>
            </c:dLbl>
            <c:numFmt formatCode="0%" sourceLinked="0"/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2004</c:v>
                </c:pt>
                <c:pt idx="1">
                  <c:v>2008</c:v>
                </c:pt>
                <c:pt idx="2">
                  <c:v>2012</c:v>
                </c:pt>
                <c:pt idx="3">
                  <c:v>2016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0.00</c:formatCode>
                <c:ptCount val="5"/>
                <c:pt idx="0">
                  <c:v>0.56000000000000005</c:v>
                </c:pt>
                <c:pt idx="1">
                  <c:v>0.67000000000000148</c:v>
                </c:pt>
                <c:pt idx="2">
                  <c:v>0.9</c:v>
                </c:pt>
                <c:pt idx="3">
                  <c:v>0.93</c:v>
                </c:pt>
                <c:pt idx="4">
                  <c:v>1.02</c:v>
                </c:pt>
              </c:numCache>
            </c:numRef>
          </c:val>
        </c:ser>
        <c:marker val="1"/>
        <c:axId val="41784448"/>
        <c:axId val="41785984"/>
      </c:lineChart>
      <c:catAx>
        <c:axId val="41784448"/>
        <c:scaling>
          <c:orientation val="minMax"/>
        </c:scaling>
        <c:axPos val="b"/>
        <c:numFmt formatCode="General" sourceLinked="1"/>
        <c:tickLblPos val="low"/>
        <c:spPr>
          <a:ln w="50800"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41785984"/>
        <c:crossesAt val="1"/>
        <c:auto val="1"/>
        <c:lblAlgn val="ctr"/>
        <c:lblOffset val="100"/>
      </c:catAx>
      <c:valAx>
        <c:axId val="41785984"/>
        <c:scaling>
          <c:orientation val="minMax"/>
          <c:max val="1.2"/>
          <c:min val="0.5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1784448"/>
        <c:crosses val="autoZero"/>
        <c:crossBetween val="between"/>
        <c:majorUnit val="0.1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rgbClr val="EA157A"/>
            </a:solidFill>
          </c:spPr>
          <c:dLbls>
            <c:dLbl>
              <c:idx val="3"/>
              <c:layout>
                <c:manualLayout>
                  <c:x val="0"/>
                  <c:y val="-1.692776597918908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2000г.</c:v>
                </c:pt>
                <c:pt idx="1">
                  <c:v>2005г.</c:v>
                </c:pt>
                <c:pt idx="2">
                  <c:v>2010г.</c:v>
                </c:pt>
                <c:pt idx="3">
                  <c:v>2011г.</c:v>
                </c:pt>
                <c:pt idx="4">
                  <c:v>2012г.</c:v>
                </c:pt>
                <c:pt idx="5">
                  <c:v>2013г.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1.6</c:v>
                </c:pt>
                <c:pt idx="1">
                  <c:v>4.5</c:v>
                </c:pt>
                <c:pt idx="2">
                  <c:v>8.8000000000000007</c:v>
                </c:pt>
                <c:pt idx="3">
                  <c:v>13.3</c:v>
                </c:pt>
                <c:pt idx="4">
                  <c:v>16.600000000000001</c:v>
                </c:pt>
                <c:pt idx="5">
                  <c:v>16.2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7FD13B"/>
            </a:solidFill>
          </c:spPr>
          <c:dLbls>
            <c:dLbl>
              <c:idx val="0"/>
              <c:layout>
                <c:manualLayout>
                  <c:x val="4.6823705920581134E-3"/>
                  <c:y val="1.128517731945948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1.692776597918908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1215803947054251E-3"/>
                  <c:y val="8.463882989594552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2000г.</c:v>
                </c:pt>
                <c:pt idx="1">
                  <c:v>2005г.</c:v>
                </c:pt>
                <c:pt idx="2">
                  <c:v>2010г.</c:v>
                </c:pt>
                <c:pt idx="3">
                  <c:v>2011г.</c:v>
                </c:pt>
                <c:pt idx="4">
                  <c:v>2012г.</c:v>
                </c:pt>
                <c:pt idx="5">
                  <c:v>2013г.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7.4</c:v>
                </c:pt>
                <c:pt idx="1">
                  <c:v>17.399999999999999</c:v>
                </c:pt>
                <c:pt idx="2">
                  <c:v>36.4</c:v>
                </c:pt>
                <c:pt idx="3">
                  <c:v>42.5</c:v>
                </c:pt>
                <c:pt idx="4">
                  <c:v>40.200000000000003</c:v>
                </c:pt>
                <c:pt idx="5">
                  <c:v>43.1</c:v>
                </c:pt>
              </c:numCache>
            </c:numRef>
          </c:val>
        </c:ser>
        <c:axId val="45288832"/>
        <c:axId val="45290624"/>
      </c:barChart>
      <c:catAx>
        <c:axId val="452888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45290624"/>
        <c:crosses val="autoZero"/>
        <c:auto val="1"/>
        <c:lblAlgn val="ctr"/>
        <c:lblOffset val="100"/>
      </c:catAx>
      <c:valAx>
        <c:axId val="452906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5288832"/>
        <c:crosses val="autoZero"/>
        <c:crossBetween val="between"/>
      </c:valAx>
      <c:spPr>
        <a:noFill/>
        <a:ln w="25405">
          <a:noFill/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003E3-13CD-4BD3-98A1-743C8A4E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Наби</cp:lastModifiedBy>
  <cp:revision>2</cp:revision>
  <cp:lastPrinted>2014-08-21T11:50:00Z</cp:lastPrinted>
  <dcterms:created xsi:type="dcterms:W3CDTF">2014-09-25T06:26:00Z</dcterms:created>
  <dcterms:modified xsi:type="dcterms:W3CDTF">2014-09-25T06:26:00Z</dcterms:modified>
</cp:coreProperties>
</file>