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25" w:rsidRPr="00875C34" w:rsidRDefault="00512EB7" w:rsidP="00875C34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C34">
        <w:rPr>
          <w:rFonts w:ascii="Times New Roman" w:hAnsi="Times New Roman" w:cs="Times New Roman"/>
          <w:b/>
          <w:sz w:val="28"/>
          <w:szCs w:val="28"/>
        </w:rPr>
        <w:t>Требования к оформлению научных статей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издания принимаются ранее не опубликованные в других печатных или электронных изданиях авторские материалы – научные статьи, соответствующие научным специальностям.</w:t>
      </w:r>
    </w:p>
    <w:p w:rsid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Объём статьи не должен превышать 12 страниц, включая таблицы и/или рисунки, библиографию.</w:t>
      </w:r>
    </w:p>
    <w:p w:rsidR="00875C34" w:rsidRPr="00875C34" w:rsidRDefault="00875C34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875C34">
        <w:rPr>
          <w:rFonts w:ascii="Times New Roman" w:hAnsi="Times New Roman" w:cs="Times New Roman"/>
          <w:bCs/>
          <w:iCs/>
          <w:sz w:val="28"/>
          <w:szCs w:val="28"/>
        </w:rPr>
        <w:t xml:space="preserve">Статья в формате </w:t>
      </w:r>
      <w:r w:rsidRPr="00875C34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Microsoft</w:t>
      </w:r>
      <w:r w:rsidRPr="00875C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5C34">
        <w:rPr>
          <w:rFonts w:ascii="Times New Roman" w:hAnsi="Times New Roman" w:cs="Times New Roman"/>
          <w:bCs/>
          <w:iCs/>
          <w:sz w:val="28"/>
          <w:szCs w:val="28"/>
          <w:lang w:val="en-US"/>
        </w:rPr>
        <w:t>Word</w:t>
      </w:r>
      <w:r w:rsidRPr="00875C3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r w:rsidRPr="00875C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Times</w:t>
      </w:r>
      <w:r w:rsidRPr="0087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C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</w:t>
      </w:r>
      <w:r w:rsidRPr="0087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C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Roman</w:t>
      </w:r>
      <w:r w:rsidRPr="00875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14, межстрочный интервал 1,0, формат - А4, поля – по 20 мм с каждой стороны.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заголовок. Название статьи 10-12 слов (</w:t>
      </w:r>
      <w:r w:rsid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заглавными буквами, шрифт TNR 14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выравнивание по центру, запрещается использовать формулы);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сведения об авторах. Имя, отчество, фамилия полностью</w:t>
      </w:r>
      <w:r w:rsid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шрифт TNR 14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аффилиации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авторов (сокращенное название организации согласно Устава), город (например, г. Москва), страна, e-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шрифт TNR 12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аннотаци</w:t>
      </w:r>
      <w:r w:rsidR="00044C36" w:rsidRPr="00044C3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я.</w:t>
      </w:r>
      <w:r w:rsidR="00044C3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Актуальность темы, постановка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проблемы, цели и методы исследования, результаты и ключевые выводы, </w:t>
      </w:r>
      <w:r w:rsid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шрифт TNR 12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курсив, выравнивание по ширине, не менее 150-250 слов;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 ключевые слова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Отражают специфику темы, объект и результаты исследования (10-12 слов или словосочетаний, через запятую, по алфавиту, </w:t>
      </w:r>
      <w:r w:rsid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шрифт TNR 12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курсив, выравнивание по ширине);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обзор литературы по теме, формулирует актуальность, целесообразность разработки темы, научную новизну, цель и задачи, раскрывает теоретическую и практическую значимости исследования;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– </w:t>
      </w:r>
      <w:r w:rsidRPr="00044C3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основная часть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 В основной части статьи путем анализа и синтеза информации раскрываются исследуемые проблемы, пути их решения, обосновываются полученные результаты и их достоверность;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Детально описывают метод и схему экспериментов наблюдения, позволяющие воспроизвести их результаты, пользуясь только текстом статьи, описывают приборы, оборудование и другие условия проведения экспериментов наблюдений;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 результаты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Эта часть занимает основное место в научной статье, в ней с помощью обобщения и анализа данных автором доказывается рабочая гипотеза по проблеме. Результаты исследования излагаются кратко, но содержат достаточно информации для формирования выводов, включают графики (.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диаграммы (.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таблицы (.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уравнения (в редакторе формул), фотографии (.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jpg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рисунки (.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jpg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 обсуждение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Содержит интерпретацию полученных результатов исследования, включая соответствие полученных результатов гипотезе исследования, ограничения исследования и обобщение его результатов, предложения по практическому применению, предложения по направлению будущих исследований;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 заключение, выводы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Заключение содержит краткие итоги разделов статьи без повторения формулировок, приведенных в них;</w:t>
      </w:r>
    </w:p>
    <w:p w:rsidR="00512EB7" w:rsidRPr="00875C34" w:rsidRDefault="00512EB7" w:rsidP="00875C34">
      <w:pPr>
        <w:pStyle w:val="a3"/>
        <w:widowControl w:val="0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44C36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– </w:t>
      </w:r>
      <w:r w:rsidRPr="00044C36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список источников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 Не менее 10 ис</w:t>
      </w:r>
      <w:r w:rsid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точников на </w:t>
      </w:r>
      <w:proofErr w:type="gramStart"/>
      <w:r w:rsid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русском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языке</w:t>
      </w:r>
      <w:proofErr w:type="gramEnd"/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 В списке источников приводится только цитируемая в</w:t>
      </w:r>
      <w:r w:rsid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статье литература (шрифт TNR 12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отступ 1,0 см, выравнивание по ширине). Оформляется согласно ГОСТ Р 7.0.100-2018, ГОСТ Р 7.0.108-2022.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Текст набирается без переносов, режим «выравнивание по ширине». Все слова разделяются одним пробелом, годы пишутся через неразрывный пробел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«2025 г./2025 год». Списки (нумерованные, буквенные, маркированные) набираются с использованием автоматического оформления. В конце всех предложений сокращения и размерности «%, г./гг., га, руб., долл., млн/млрд, и т.д./и т.п.» должны писаться полностью (процента/процентов, год/года/годов, гектаров, рублей…). Необходимо указывать страну используемой валюты (млрд долл. США). Обратите внимание на написание общепринятых сокращений, например, тыс., руб., млн, млрд, согласно орфографии русского языка. Фамилия, имя, отчество указываются в формате: Иванов Иван Иванович, фамилия и инициалы указываются в формате: И.И. Иванов</w:t>
      </w:r>
      <w:r w:rsidRPr="00875C34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с обязательным использованием неразрывного пробела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ctrl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+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shift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+ пробел). 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Оформление математических формул 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буквенных обозначений величин осуществляется в стандартном редакторе для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редактор</w:t>
      </w:r>
      <w:r w:rsidR="00044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формул </w:t>
      </w:r>
      <w:proofErr w:type="spellStart"/>
      <w:r w:rsidR="00044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="00044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44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Equation</w:t>
      </w:r>
      <w:proofErr w:type="spellEnd"/>
      <w:r w:rsidR="00044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3.0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Текст не должен содержать сканированных элементов. Шрифт дается в стиле основного текста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латинские – курсив, греческие – прямо, русские – прямо, матрица-вектор – полужирный. Размеры в математическом редакторе (в порядке очередности): обычный – 10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крупный индекс – 8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мелкий индекс – 7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крупный символ – 16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мелкий символ – 10 пт.</w:t>
      </w:r>
    </w:p>
    <w:p w:rsidR="00512EB7" w:rsidRPr="008C26CE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6CE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bdr w:val="none" w:sz="0" w:space="0" w:color="auto" w:frame="1"/>
          <w:lang w:eastAsia="ru-RU"/>
        </w:rPr>
        <w:t>Иллюстрации (рисунки, графики, диаграммы) </w:t>
      </w:r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располагаются в тексте статьи по форме: </w:t>
      </w:r>
      <w:r w:rsidRPr="008C26CE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«Рисунок 1 – название»</w:t>
      </w:r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TNR</w:t>
      </w:r>
      <w:r w:rsidR="00875C34"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кеглем</w:t>
      </w:r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без абзацного отступа и выполняются в графических редакторах (формат .</w:t>
      </w:r>
      <w:proofErr w:type="spellStart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jpg</w:t>
      </w:r>
      <w:proofErr w:type="spellEnd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.</w:t>
      </w:r>
      <w:proofErr w:type="spellStart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en-US" w:eastAsia="ru-RU"/>
        </w:rPr>
        <w:t>xlsx</w:t>
      </w:r>
      <w:proofErr w:type="spellEnd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в ахроматической гамме, без цветной заливки, допускается штриховка), с соблюдением ГОСТ 2.304-81 ЕСКД «Шрифты чертежные». В тексте обязательно формируется отсылка к иллюстрациям до их появления в формате (рис. 1, рис. 2). Допускается создание и представление графиков при помощи табличных процессоров «</w:t>
      </w:r>
      <w:proofErr w:type="spellStart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Excel</w:t>
      </w:r>
      <w:proofErr w:type="spellEnd"/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», </w:t>
      </w:r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en-US" w:eastAsia="ru-RU"/>
        </w:rPr>
        <w:t>TNR</w:t>
      </w:r>
      <w:r w:rsidRPr="008C26C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11. 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рисунком на расстоянии 8 </w:t>
      </w:r>
      <w:proofErr w:type="spellStart"/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располагается его номер и подрисуночная подпись в формате: «</w:t>
      </w:r>
      <w:r w:rsidRPr="008C2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Источник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составлен автором/авторами по данным…» (указать) 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TNR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пт. Рисунки в тексте статьи должны быть также выполнены отдельно в формате </w:t>
      </w:r>
      <w:proofErr w:type="spellStart"/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jpg</w:t>
      </w:r>
      <w:proofErr w:type="spellEnd"/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иметь единую нумерацию и </w:t>
      </w:r>
      <w:r w:rsidRPr="008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прилагаться к электронному варианту статьи</w:t>
      </w:r>
      <w:r w:rsidRPr="008C2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Таблицы 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оформляются по форме: </w:t>
      </w:r>
      <w:r w:rsidRPr="00875C34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«Таблица 1 – название»,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 w:eastAsia="ru-RU"/>
        </w:rPr>
        <w:t>TNR</w:t>
      </w:r>
      <w:r w:rsidR="008C26C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12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пт</w:t>
      </w:r>
      <w:proofErr w:type="spellEnd"/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, по середине, по ширине листа, без абзацного отступа, номер таблицы цифрами, название с большой буквы форматируется по центру таблицы. Содержимое ячеек следует располагать по центру,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 w:eastAsia="ru-RU"/>
        </w:rPr>
        <w:t>TNR</w:t>
      </w:r>
      <w:r w:rsidR="008C26C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12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пт. Таблицы, размером менее одной страницы, разрывать не следует. В тексте обязательно формируется отсылка к таблице до ее появления в формате (табл. 1, табл. 2). После таблиц обязательно необходимо указывать источник в формате: «</w:t>
      </w:r>
      <w:r w:rsidRPr="00875C34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Источник: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составлена автором/авторами по данным …» без абзацного отступа 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 w:eastAsia="ru-RU"/>
        </w:rPr>
        <w:t>TNR</w:t>
      </w:r>
      <w:r w:rsidR="008C26C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12</w:t>
      </w:r>
      <w:r w:rsidRPr="00875C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кеглем.</w:t>
      </w:r>
    </w:p>
    <w:p w:rsidR="00512EB7" w:rsidRPr="00875C34" w:rsidRDefault="00512EB7" w:rsidP="00875C34">
      <w:pPr>
        <w:pStyle w:val="a3"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Список источников 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оформляется после основного текста статьи (шрифт TNR</w:t>
      </w:r>
      <w:r w:rsid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кегль</w:t>
      </w:r>
      <w:r w:rsid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bookmarkStart w:id="0" w:name="_GoBack"/>
      <w:bookmarkEnd w:id="0"/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C34" w:rsidRPr="00875C34" w:rsidRDefault="00875C34" w:rsidP="00875C34">
      <w:pPr>
        <w:pStyle w:val="a3"/>
        <w:keepNext/>
        <w:numPr>
          <w:ilvl w:val="0"/>
          <w:numId w:val="1"/>
        </w:numPr>
        <w:spacing w:after="0" w:line="211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Ссылки на цитируемую литературу из списка источников оформляются через отсылки в квадратных скобках, (например, [1])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75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875C34" w:rsidRPr="0087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2E4"/>
    <w:multiLevelType w:val="hybridMultilevel"/>
    <w:tmpl w:val="84CE54FC"/>
    <w:lvl w:ilvl="0" w:tplc="C3261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B7"/>
    <w:rsid w:val="00044C36"/>
    <w:rsid w:val="00512EB7"/>
    <w:rsid w:val="00875C34"/>
    <w:rsid w:val="008C26CE"/>
    <w:rsid w:val="00C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2F47-F1EE-48F5-968C-558C6BC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2025-05-15T11:23:00Z</dcterms:created>
  <dcterms:modified xsi:type="dcterms:W3CDTF">2025-05-19T09:19:00Z</dcterms:modified>
</cp:coreProperties>
</file>